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460" w:rsidRPr="0020723B" w:rsidRDefault="00424460" w:rsidP="00424460">
      <w:pPr>
        <w:pStyle w:val="Tekstpodstawowy"/>
        <w:spacing w:before="51"/>
        <w:rPr>
          <w:rFonts w:ascii="Calibri" w:hAnsi="Calibri" w:cs="Arial"/>
          <w:sz w:val="22"/>
        </w:rPr>
      </w:pPr>
    </w:p>
    <w:p w:rsidR="00424460" w:rsidRPr="0020723B" w:rsidRDefault="00424460" w:rsidP="00424460">
      <w:pPr>
        <w:pStyle w:val="Heading4"/>
        <w:spacing w:line="194" w:lineRule="auto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44" o:spid="_x0000_s1026" type="#_x0000_t202" style="position:absolute;left:0;text-align:left;margin-left:56.7pt;margin-top:-19.3pt;width:45.4pt;height:64.95pt;z-index:251660288;mso-position-horizontal-relative:page" fillcolor="#bee3eb" stroked="f">
            <v:textbox inset="0,0,0,0">
              <w:txbxContent>
                <w:p w:rsidR="00424460" w:rsidRDefault="00424460" w:rsidP="00424460">
                  <w:pPr>
                    <w:pStyle w:val="Tekstpodstawowy"/>
                    <w:spacing w:before="212"/>
                    <w:rPr>
                      <w:color w:val="000000"/>
                      <w:sz w:val="24"/>
                    </w:rPr>
                  </w:pPr>
                </w:p>
                <w:p w:rsidR="00424460" w:rsidRDefault="00424460" w:rsidP="00424460">
                  <w:pPr>
                    <w:ind w:left="19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0"/>
                      <w:sz w:val="24"/>
                    </w:rPr>
                    <w:t>11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ANALIZUJE PRZEBIEG I SKUTKI ZNIECZULEŃ (STANDARD MOŻE BYĆ WYŁĄCZONY).</w:t>
      </w:r>
    </w:p>
    <w:p w:rsidR="00424460" w:rsidRDefault="00424460" w:rsidP="00424460">
      <w:pPr>
        <w:pStyle w:val="Tekstpodstawowy"/>
        <w:spacing w:before="291"/>
        <w:rPr>
          <w:rFonts w:ascii="Calibri" w:hAnsi="Calibri" w:cs="Arial"/>
          <w:sz w:val="22"/>
        </w:rPr>
      </w:pPr>
    </w:p>
    <w:p w:rsidR="00424460" w:rsidRPr="0020723B" w:rsidRDefault="00424460" w:rsidP="00424460">
      <w:pPr>
        <w:pStyle w:val="Tekstpodstawowy"/>
        <w:spacing w:before="291"/>
        <w:rPr>
          <w:rFonts w:ascii="Calibri" w:hAnsi="Calibri" w:cs="Arial"/>
          <w:sz w:val="22"/>
        </w:rPr>
      </w:pPr>
    </w:p>
    <w:p w:rsidR="00424460" w:rsidRPr="0020723B" w:rsidRDefault="00424460" w:rsidP="00424460">
      <w:pPr>
        <w:pStyle w:val="Heading6"/>
        <w:numPr>
          <w:ilvl w:val="0"/>
          <w:numId w:val="3"/>
        </w:numPr>
        <w:tabs>
          <w:tab w:val="left" w:pos="1275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24460" w:rsidRPr="0020723B" w:rsidRDefault="00424460" w:rsidP="00424460">
      <w:pPr>
        <w:pStyle w:val="Tekstpodstawowy"/>
        <w:spacing w:before="218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Znieczulenia wykonywane w szpitalu powinny podlegać systematycznej analizie przez zespół znieczulający co najmniej dwa razy w roku.</w:t>
      </w:r>
    </w:p>
    <w:p w:rsidR="00424460" w:rsidRPr="0020723B" w:rsidRDefault="00424460" w:rsidP="00424460">
      <w:pPr>
        <w:pStyle w:val="Tekstpodstawowy"/>
        <w:spacing w:before="9"/>
        <w:rPr>
          <w:rFonts w:ascii="Calibri" w:hAnsi="Calibri" w:cs="Arial"/>
          <w:sz w:val="22"/>
        </w:rPr>
      </w:pPr>
    </w:p>
    <w:p w:rsidR="00424460" w:rsidRPr="0020723B" w:rsidRDefault="00424460" w:rsidP="00424460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Opracowanie dotyczące znieczuleń powinno obejmować: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liczbę i rodzaj znieczuleń przeprowadzonych w szpitalu;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pogłębioną analizę powikłań związanych ze znieczuleniem.</w:t>
      </w:r>
    </w:p>
    <w:p w:rsidR="00424460" w:rsidRPr="0020723B" w:rsidRDefault="00424460" w:rsidP="00424460">
      <w:pPr>
        <w:pStyle w:val="Tekstpodstawowy"/>
        <w:spacing w:before="15"/>
        <w:rPr>
          <w:rFonts w:ascii="Calibri" w:hAnsi="Calibri" w:cs="Arial"/>
          <w:sz w:val="22"/>
        </w:rPr>
      </w:pPr>
    </w:p>
    <w:p w:rsidR="00424460" w:rsidRPr="0020723B" w:rsidRDefault="00424460" w:rsidP="00424460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Analiza powinna uwzględniać:</w:t>
      </w:r>
    </w:p>
    <w:p w:rsidR="00424460" w:rsidRPr="0020723B" w:rsidRDefault="00424460" w:rsidP="00424460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przygotowanie pacjenta do zabiegu;</w:t>
      </w:r>
    </w:p>
    <w:p w:rsidR="00424460" w:rsidRPr="0020723B" w:rsidRDefault="00424460" w:rsidP="00424460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poprawność i stabilność parametrów fizjologicznych w czasie znieczulenia;</w:t>
      </w:r>
    </w:p>
    <w:p w:rsidR="00424460" w:rsidRPr="0020723B" w:rsidRDefault="00424460" w:rsidP="00424460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dostosowanie czasu znieczulenia do czasu zabiegu;</w:t>
      </w:r>
    </w:p>
    <w:p w:rsidR="00424460" w:rsidRPr="0020723B" w:rsidRDefault="00424460" w:rsidP="00424460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wyszczególnienie częstości i rodzaju powikłań, które wystąpiły w związku ze znieczuleniem;</w:t>
      </w:r>
    </w:p>
    <w:p w:rsidR="00424460" w:rsidRPr="0020723B" w:rsidRDefault="00424460" w:rsidP="00424460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przyczyny powikłań;</w:t>
      </w:r>
    </w:p>
    <w:p w:rsidR="00424460" w:rsidRPr="0020723B" w:rsidRDefault="00424460" w:rsidP="00424460">
      <w:pPr>
        <w:pStyle w:val="Akapitzlist"/>
        <w:numPr>
          <w:ilvl w:val="0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wnioski i zalecenia wynikające z analizy.</w:t>
      </w:r>
    </w:p>
    <w:p w:rsidR="00424460" w:rsidRPr="0020723B" w:rsidRDefault="00424460" w:rsidP="00424460">
      <w:pPr>
        <w:pStyle w:val="Tekstpodstawowy"/>
        <w:spacing w:before="16"/>
        <w:rPr>
          <w:rFonts w:ascii="Calibri" w:hAnsi="Calibri" w:cs="Arial"/>
          <w:sz w:val="22"/>
        </w:rPr>
      </w:pPr>
    </w:p>
    <w:p w:rsidR="00424460" w:rsidRPr="0020723B" w:rsidRDefault="00424460" w:rsidP="00424460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wyniku analizy szpital:</w:t>
      </w:r>
    </w:p>
    <w:p w:rsidR="00424460" w:rsidRPr="0020723B" w:rsidRDefault="00424460" w:rsidP="00424460">
      <w:pPr>
        <w:pStyle w:val="Akapitzlist"/>
        <w:numPr>
          <w:ilvl w:val="0"/>
          <w:numId w:val="1"/>
        </w:numPr>
        <w:tabs>
          <w:tab w:val="left" w:pos="1613"/>
          <w:tab w:val="left" w:pos="1615"/>
        </w:tabs>
        <w:spacing w:line="247" w:lineRule="auto"/>
        <w:ind w:right="70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modyfikuje przyjęte sposoby postępowania, </w:t>
      </w:r>
      <w:proofErr w:type="spellStart"/>
      <w:r w:rsidRPr="0020723B">
        <w:rPr>
          <w:rFonts w:ascii="Calibri" w:hAnsi="Calibri" w:cs="Arial"/>
          <w:szCs w:val="20"/>
        </w:rPr>
        <w:t>m.in</w:t>
      </w:r>
      <w:proofErr w:type="spellEnd"/>
      <w:r w:rsidRPr="0020723B">
        <w:rPr>
          <w:rFonts w:ascii="Calibri" w:hAnsi="Calibri" w:cs="Arial"/>
          <w:szCs w:val="20"/>
        </w:rPr>
        <w:t xml:space="preserve"> kwalifikacji i przygotowania pacjenta do zabiegu;</w:t>
      </w:r>
    </w:p>
    <w:p w:rsidR="00424460" w:rsidRPr="0020723B" w:rsidRDefault="00424460" w:rsidP="00424460">
      <w:pPr>
        <w:pStyle w:val="Akapitzlist"/>
        <w:numPr>
          <w:ilvl w:val="0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poprawia organizację pracy;</w:t>
      </w:r>
    </w:p>
    <w:p w:rsidR="00424460" w:rsidRPr="0020723B" w:rsidRDefault="00424460" w:rsidP="00424460">
      <w:pPr>
        <w:pStyle w:val="Akapitzlist"/>
        <w:numPr>
          <w:ilvl w:val="0"/>
          <w:numId w:val="1"/>
        </w:numPr>
        <w:tabs>
          <w:tab w:val="left" w:pos="1615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doskonali wiedzę i umiejętności personelu.</w:t>
      </w:r>
    </w:p>
    <w:p w:rsidR="00424460" w:rsidRPr="0020723B" w:rsidRDefault="00424460" w:rsidP="00424460">
      <w:pPr>
        <w:pStyle w:val="Heading6"/>
        <w:numPr>
          <w:ilvl w:val="0"/>
          <w:numId w:val="3"/>
        </w:numPr>
        <w:tabs>
          <w:tab w:val="left" w:pos="1274"/>
        </w:tabs>
        <w:spacing w:before="169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424460" w:rsidRPr="0020723B" w:rsidRDefault="00424460" w:rsidP="00424460">
      <w:pPr>
        <w:pStyle w:val="Heading6"/>
        <w:numPr>
          <w:ilvl w:val="0"/>
          <w:numId w:val="3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24460" w:rsidRPr="0020723B" w:rsidRDefault="00424460" w:rsidP="00424460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Analiza przebiegu i skutków znieczuleń jest prowadzona zgodnie z wymogami standardu.</w:t>
      </w:r>
    </w:p>
    <w:p w:rsidR="00424460" w:rsidRPr="0020723B" w:rsidRDefault="00424460" w:rsidP="00424460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424460" w:rsidRPr="0020723B" w:rsidRDefault="00424460" w:rsidP="00424460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Analiza przebiegu i skutków znieczuleń nie jest prowadzona zgodnie z wymogami standardu.</w:t>
      </w:r>
    </w:p>
    <w:p w:rsidR="00424460" w:rsidRPr="0020723B" w:rsidRDefault="00424460" w:rsidP="00424460">
      <w:pPr>
        <w:pStyle w:val="Heading6"/>
        <w:numPr>
          <w:ilvl w:val="0"/>
          <w:numId w:val="3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5"/>
        </w:tabs>
        <w:spacing w:before="206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znieczuleń wykonywanych w szpitalu jest wykonywana przez zespół znieczulający co najmniej dwa razy do roku;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dotyczące znieczuleń obejmuje liczbę i rodzaj znieczuleń przeprowadzonych w szpitalu;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1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dotyczące znieczuleń obejmuje pogłębioną analizę powikłań związanych ze znieczuleniem;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dotyczące znieczuleń obejmuje przygotowanie pacjenta do zabiegu;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dotyczące znieczuleń obejmuje ocenę poprawności i stabilności parametrów fizjologicznych w czasie znieczulenia;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dotyczące znieczuleń obejmuje dostosowanie czasu znieczulenia do czasu zabiegu;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dotyczące znieczuleń obejmuje wyszczególnienie częstości i rodzaju powikłań, które wystąpiły w związku ze znieczuleniem;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4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dotyczące znieczuleń obejmuje określenie przyczyny powikłań;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opracowanie dotyczące znieczuleń obejmuje wnioski i zalecenia wynikające z analizy;</w:t>
      </w:r>
    </w:p>
    <w:p w:rsidR="00424460" w:rsidRPr="0020723B" w:rsidRDefault="00424460" w:rsidP="00424460">
      <w:pPr>
        <w:pStyle w:val="Akapitzlist"/>
        <w:spacing w:line="242" w:lineRule="exact"/>
        <w:rPr>
          <w:rFonts w:ascii="Calibri" w:hAnsi="Calibri" w:cs="Arial"/>
          <w:szCs w:val="20"/>
        </w:rPr>
        <w:sectPr w:rsidR="00424460" w:rsidRPr="0020723B">
          <w:pgSz w:w="11910" w:h="16840"/>
          <w:pgMar w:top="1340" w:right="992" w:bottom="800" w:left="992" w:header="0" w:footer="614" w:gutter="0"/>
          <w:cols w:space="708"/>
        </w:sectPr>
      </w:pP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2182"/>
        </w:tabs>
        <w:spacing w:before="79" w:line="247" w:lineRule="auto"/>
        <w:ind w:left="2182" w:right="143" w:hanging="455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lastRenderedPageBreak/>
        <w:pict>
          <v:shape id="docshape1745" o:spid="_x0000_s1027" type="#_x0000_t202" style="position:absolute;left:0;text-align:left;margin-left:568.95pt;margin-top:378.1pt;width:24.4pt;height:49.95pt;z-index:251661312;mso-position-horizontal-relative:page;mso-position-vertical-relative:page" filled="f" stroked="f">
            <v:textbox style="layout-flow:vertical" inset="0,0,0,0">
              <w:txbxContent>
                <w:p w:rsidR="00424460" w:rsidRDefault="00424460" w:rsidP="00424460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2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ZZ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 xml:space="preserve">na podstawie analizy modyfikowane są przyjęte sposoby postępowania, </w:t>
      </w:r>
      <w:proofErr w:type="spellStart"/>
      <w:r w:rsidRPr="0020723B">
        <w:rPr>
          <w:rFonts w:ascii="Calibri" w:hAnsi="Calibri" w:cs="Arial"/>
          <w:szCs w:val="20"/>
        </w:rPr>
        <w:t>m.in</w:t>
      </w:r>
      <w:proofErr w:type="spellEnd"/>
      <w:r w:rsidRPr="0020723B">
        <w:rPr>
          <w:rFonts w:ascii="Calibri" w:hAnsi="Calibri" w:cs="Arial"/>
          <w:szCs w:val="20"/>
        </w:rPr>
        <w:t xml:space="preserve"> kwalifikacji i przygotowania pacjenta do zabiegu;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2182"/>
        </w:tabs>
        <w:spacing w:line="231" w:lineRule="exact"/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 podstawie analizy jest poprawiana organizacja pracy;</w:t>
      </w:r>
    </w:p>
    <w:p w:rsidR="00424460" w:rsidRPr="0020723B" w:rsidRDefault="00424460" w:rsidP="00424460">
      <w:pPr>
        <w:pStyle w:val="Akapitzlist"/>
        <w:numPr>
          <w:ilvl w:val="1"/>
          <w:numId w:val="3"/>
        </w:numPr>
        <w:tabs>
          <w:tab w:val="left" w:pos="2182"/>
        </w:tabs>
        <w:spacing w:line="242" w:lineRule="exact"/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 podstawie analizy doskonalona jest wiedza i umiejętności personelu.</w:t>
      </w:r>
    </w:p>
    <w:p w:rsidR="00424460" w:rsidRPr="0020723B" w:rsidRDefault="00424460" w:rsidP="00424460">
      <w:pPr>
        <w:pStyle w:val="Tekstpodstawowy"/>
        <w:spacing w:before="15"/>
        <w:rPr>
          <w:rFonts w:ascii="Calibri" w:hAnsi="Calibri" w:cs="Arial"/>
          <w:sz w:val="22"/>
        </w:rPr>
      </w:pPr>
    </w:p>
    <w:p w:rsidR="00424460" w:rsidRPr="0020723B" w:rsidRDefault="00424460" w:rsidP="00424460">
      <w:pPr>
        <w:pStyle w:val="Tekstpodstawowy"/>
        <w:spacing w:before="1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8 kamieni milowych.</w:t>
      </w:r>
    </w:p>
    <w:p w:rsidR="00424460" w:rsidRPr="0020723B" w:rsidRDefault="00424460" w:rsidP="00424460">
      <w:pPr>
        <w:pStyle w:val="Tekstpodstawowy"/>
        <w:spacing w:before="3"/>
        <w:rPr>
          <w:rFonts w:ascii="Calibri" w:hAnsi="Calibri" w:cs="Arial"/>
          <w:sz w:val="22"/>
        </w:rPr>
      </w:pPr>
    </w:p>
    <w:p w:rsidR="00424460" w:rsidRPr="0020723B" w:rsidRDefault="00424460" w:rsidP="00424460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4460" w:rsidRPr="0020723B" w:rsidRDefault="00424460" w:rsidP="00424460">
      <w:pPr>
        <w:pStyle w:val="Tekstpodstawowy"/>
        <w:spacing w:before="183"/>
        <w:rPr>
          <w:rFonts w:ascii="Calibri" w:hAnsi="Calibri" w:cs="Arial"/>
          <w:sz w:val="22"/>
        </w:rPr>
      </w:pPr>
    </w:p>
    <w:p w:rsidR="00427D73" w:rsidRDefault="00424460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3748C"/>
    <w:multiLevelType w:val="hybridMultilevel"/>
    <w:tmpl w:val="FD36BD1E"/>
    <w:lvl w:ilvl="0" w:tplc="99EEAC9A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A3EA4C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D6AE05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732E435E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DB2851AE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F53493D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FA38C4E2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860A904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ABECF0E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abstractNum w:abstractNumId="1">
    <w:nsid w:val="01654179"/>
    <w:multiLevelType w:val="hybridMultilevel"/>
    <w:tmpl w:val="132AA9DC"/>
    <w:lvl w:ilvl="0" w:tplc="E296307E">
      <w:start w:val="1"/>
      <w:numFmt w:val="decimal"/>
      <w:lvlText w:val="%1)"/>
      <w:lvlJc w:val="left"/>
      <w:pPr>
        <w:ind w:left="1615" w:hanging="345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A7242AC">
      <w:numFmt w:val="bullet"/>
      <w:lvlText w:val="•"/>
      <w:lvlJc w:val="left"/>
      <w:pPr>
        <w:ind w:left="2450" w:hanging="345"/>
      </w:pPr>
      <w:rPr>
        <w:rFonts w:hint="default"/>
        <w:lang w:val="pl-PL" w:eastAsia="en-US" w:bidi="ar-SA"/>
      </w:rPr>
    </w:lvl>
    <w:lvl w:ilvl="2" w:tplc="1A9C418C">
      <w:numFmt w:val="bullet"/>
      <w:lvlText w:val="•"/>
      <w:lvlJc w:val="left"/>
      <w:pPr>
        <w:ind w:left="3280" w:hanging="345"/>
      </w:pPr>
      <w:rPr>
        <w:rFonts w:hint="default"/>
        <w:lang w:val="pl-PL" w:eastAsia="en-US" w:bidi="ar-SA"/>
      </w:rPr>
    </w:lvl>
    <w:lvl w:ilvl="3" w:tplc="1C4E58D2">
      <w:numFmt w:val="bullet"/>
      <w:lvlText w:val="•"/>
      <w:lvlJc w:val="left"/>
      <w:pPr>
        <w:ind w:left="4110" w:hanging="345"/>
      </w:pPr>
      <w:rPr>
        <w:rFonts w:hint="default"/>
        <w:lang w:val="pl-PL" w:eastAsia="en-US" w:bidi="ar-SA"/>
      </w:rPr>
    </w:lvl>
    <w:lvl w:ilvl="4" w:tplc="DFCE8782">
      <w:numFmt w:val="bullet"/>
      <w:lvlText w:val="•"/>
      <w:lvlJc w:val="left"/>
      <w:pPr>
        <w:ind w:left="4940" w:hanging="345"/>
      </w:pPr>
      <w:rPr>
        <w:rFonts w:hint="default"/>
        <w:lang w:val="pl-PL" w:eastAsia="en-US" w:bidi="ar-SA"/>
      </w:rPr>
    </w:lvl>
    <w:lvl w:ilvl="5" w:tplc="306E4396">
      <w:numFmt w:val="bullet"/>
      <w:lvlText w:val="•"/>
      <w:lvlJc w:val="left"/>
      <w:pPr>
        <w:ind w:left="5770" w:hanging="345"/>
      </w:pPr>
      <w:rPr>
        <w:rFonts w:hint="default"/>
        <w:lang w:val="pl-PL" w:eastAsia="en-US" w:bidi="ar-SA"/>
      </w:rPr>
    </w:lvl>
    <w:lvl w:ilvl="6" w:tplc="21DA2370">
      <w:numFmt w:val="bullet"/>
      <w:lvlText w:val="•"/>
      <w:lvlJc w:val="left"/>
      <w:pPr>
        <w:ind w:left="6600" w:hanging="345"/>
      </w:pPr>
      <w:rPr>
        <w:rFonts w:hint="default"/>
        <w:lang w:val="pl-PL" w:eastAsia="en-US" w:bidi="ar-SA"/>
      </w:rPr>
    </w:lvl>
    <w:lvl w:ilvl="7" w:tplc="C7FC92E4">
      <w:numFmt w:val="bullet"/>
      <w:lvlText w:val="•"/>
      <w:lvlJc w:val="left"/>
      <w:pPr>
        <w:ind w:left="7431" w:hanging="345"/>
      </w:pPr>
      <w:rPr>
        <w:rFonts w:hint="default"/>
        <w:lang w:val="pl-PL" w:eastAsia="en-US" w:bidi="ar-SA"/>
      </w:rPr>
    </w:lvl>
    <w:lvl w:ilvl="8" w:tplc="B860EFBE">
      <w:numFmt w:val="bullet"/>
      <w:lvlText w:val="•"/>
      <w:lvlJc w:val="left"/>
      <w:pPr>
        <w:ind w:left="8261" w:hanging="345"/>
      </w:pPr>
      <w:rPr>
        <w:rFonts w:hint="default"/>
        <w:lang w:val="pl-PL" w:eastAsia="en-US" w:bidi="ar-SA"/>
      </w:rPr>
    </w:lvl>
  </w:abstractNum>
  <w:abstractNum w:abstractNumId="2">
    <w:nsid w:val="03051901"/>
    <w:multiLevelType w:val="hybridMultilevel"/>
    <w:tmpl w:val="F3825A32"/>
    <w:lvl w:ilvl="0" w:tplc="B68A7FF2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D1683138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97DE9A3A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4100FD88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149C1646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047EB750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F476E8AA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64BA959C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FB465D06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24460"/>
    <w:rsid w:val="000745AD"/>
    <w:rsid w:val="00424460"/>
    <w:rsid w:val="00682510"/>
    <w:rsid w:val="008C2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2446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2446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2446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2446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2446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2446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2446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2025-07-21T10:12:00Z</dcterms:created>
  <dcterms:modified xsi:type="dcterms:W3CDTF">2025-07-21T10:12:00Z</dcterms:modified>
</cp:coreProperties>
</file>