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EB0" w:rsidRPr="0020723B" w:rsidRDefault="00BA52DB" w:rsidP="00884EB0">
      <w:pPr>
        <w:pStyle w:val="Heading4"/>
        <w:spacing w:before="205" w:line="194" w:lineRule="auto"/>
        <w:ind w:left="1295" w:right="860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716" o:spid="_x0000_s1026" style="position:absolute;left:0;text-align:left;margin-left:0;margin-top:379.1pt;width:28.35pt;height:47.9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17" o:spid="_x0000_s1027" type="#_x0000_t202" style="position:absolute;left:0;text-align:left;margin-left:57.7pt;margin-top:.15pt;width:45.4pt;height:46.55pt;z-index:251661312;mso-position-horizontal-relative:page" filled="f" strokecolor="#bee3eb" strokeweight="2pt">
            <v:textbox inset="0,0,0,0">
              <w:txbxContent>
                <w:p w:rsidR="00884EB0" w:rsidRDefault="00884EB0" w:rsidP="00884EB0">
                  <w:pPr>
                    <w:spacing w:before="287"/>
                    <w:ind w:left="140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85"/>
                      <w:sz w:val="24"/>
                    </w:rPr>
                    <w:t>1.1</w:t>
                  </w:r>
                </w:p>
              </w:txbxContent>
            </v:textbox>
            <w10:wrap anchorx="page"/>
          </v:shape>
        </w:pict>
      </w:r>
      <w:r w:rsidR="00884EB0" w:rsidRPr="0020723B">
        <w:rPr>
          <w:rFonts w:ascii="Calibri" w:hAnsi="Calibri" w:cs="Arial"/>
          <w:color w:val="072160"/>
          <w:sz w:val="22"/>
          <w:szCs w:val="20"/>
        </w:rPr>
        <w:t>PRZED OPERACJĄ OCENIANE JEST RYZYKO ZWIĄZANE Z ZABIEGIEM (STANDARD MOŻE BYĆ WYŁĄCZONY).</w:t>
      </w:r>
    </w:p>
    <w:p w:rsidR="00884EB0" w:rsidRPr="0020723B" w:rsidRDefault="00884EB0" w:rsidP="00884EB0">
      <w:pPr>
        <w:pStyle w:val="Heading6"/>
        <w:numPr>
          <w:ilvl w:val="0"/>
          <w:numId w:val="1"/>
        </w:numPr>
        <w:tabs>
          <w:tab w:val="left" w:pos="1275"/>
        </w:tabs>
        <w:spacing w:before="370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884EB0" w:rsidRPr="0020723B" w:rsidRDefault="00884EB0" w:rsidP="00884EB0">
      <w:pPr>
        <w:pStyle w:val="Tekstpodstawowy"/>
        <w:spacing w:before="218" w:line="247" w:lineRule="auto"/>
        <w:ind w:left="1275" w:right="70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Ocena ryzyka zabiegu operacyjnego jest prowadzona w oparciu o przyjęte przez szpital skale, które prognozują rezultat leczenia chirurgicznego. Przykładowo,</w:t>
      </w:r>
      <w:r>
        <w:rPr>
          <w:rFonts w:ascii="Calibri" w:hAnsi="Calibri" w:cs="Arial"/>
          <w:sz w:val="22"/>
        </w:rPr>
        <w:t xml:space="preserve"> dla zabiegów kardiochirurgicz</w:t>
      </w:r>
      <w:r w:rsidRPr="0020723B">
        <w:rPr>
          <w:rFonts w:ascii="Calibri" w:hAnsi="Calibri" w:cs="Arial"/>
          <w:sz w:val="22"/>
        </w:rPr>
        <w:t xml:space="preserve">nych będzie to skala </w:t>
      </w:r>
      <w:proofErr w:type="spellStart"/>
      <w:r w:rsidRPr="0020723B">
        <w:rPr>
          <w:rFonts w:ascii="Calibri" w:hAnsi="Calibri" w:cs="Arial"/>
          <w:sz w:val="22"/>
        </w:rPr>
        <w:t>EuroScore</w:t>
      </w:r>
      <w:proofErr w:type="spellEnd"/>
      <w:r w:rsidRPr="0020723B">
        <w:rPr>
          <w:rFonts w:ascii="Calibri" w:hAnsi="Calibri" w:cs="Arial"/>
          <w:sz w:val="22"/>
        </w:rPr>
        <w:t xml:space="preserve">; dla zabiegów chirurgicznych skala </w:t>
      </w:r>
      <w:proofErr w:type="spellStart"/>
      <w:r w:rsidRPr="0020723B">
        <w:rPr>
          <w:rFonts w:ascii="Calibri" w:hAnsi="Calibri" w:cs="Arial"/>
          <w:sz w:val="22"/>
        </w:rPr>
        <w:t>Possum</w:t>
      </w:r>
      <w:proofErr w:type="spellEnd"/>
      <w:r w:rsidRPr="0020723B">
        <w:rPr>
          <w:rFonts w:ascii="Calibri" w:hAnsi="Calibri" w:cs="Arial"/>
          <w:sz w:val="22"/>
        </w:rPr>
        <w:t xml:space="preserve"> lub jej modyfikacje; dla oceny ryzyka kardiologicznego stosowane są skale, które pozwalają w przybliżeniu określić ryzyko zgonu u chorych wymagających operacji np. skala ryzyka Goldmana i jej modyfikacje. W przypadku braku przyjętej skali lekarz, według własnego doświadczenia, powinien określić, czy ryzyko zabiegu dla danego pacjenta jest małe, średnie czy duże.</w:t>
      </w:r>
    </w:p>
    <w:p w:rsidR="00884EB0" w:rsidRPr="0020723B" w:rsidRDefault="00884EB0" w:rsidP="00884EB0">
      <w:pPr>
        <w:pStyle w:val="Tekstpodstawowy"/>
        <w:spacing w:before="14"/>
        <w:rPr>
          <w:rFonts w:ascii="Calibri" w:hAnsi="Calibri" w:cs="Arial"/>
          <w:sz w:val="22"/>
        </w:rPr>
      </w:pPr>
    </w:p>
    <w:p w:rsidR="00884EB0" w:rsidRPr="0020723B" w:rsidRDefault="00884EB0" w:rsidP="00884EB0">
      <w:pPr>
        <w:pStyle w:val="Tekstpodstawowy"/>
        <w:spacing w:line="247" w:lineRule="auto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Ocena ryzyka powinna uwzględniać czynniki osobniczo zależne, mające wpływ na wynik operacji, przykładowo:</w:t>
      </w:r>
    </w:p>
    <w:p w:rsidR="00884EB0" w:rsidRPr="0020723B" w:rsidRDefault="00884EB0" w:rsidP="00884EB0">
      <w:pPr>
        <w:pStyle w:val="Akapitzlist"/>
        <w:numPr>
          <w:ilvl w:val="1"/>
          <w:numId w:val="1"/>
        </w:numPr>
        <w:tabs>
          <w:tab w:val="left" w:pos="1614"/>
        </w:tabs>
        <w:spacing w:line="23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 kliniczny, w tym zaawansowanie choroby;</w:t>
      </w:r>
    </w:p>
    <w:p w:rsidR="00884EB0" w:rsidRPr="0020723B" w:rsidRDefault="00884EB0" w:rsidP="00884EB0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 odżywienia;</w:t>
      </w:r>
    </w:p>
    <w:p w:rsidR="00884EB0" w:rsidRPr="0020723B" w:rsidRDefault="00884EB0" w:rsidP="00884EB0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wiek;</w:t>
      </w:r>
    </w:p>
    <w:p w:rsidR="00884EB0" w:rsidRPr="0020723B" w:rsidRDefault="00884EB0" w:rsidP="00884EB0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schorzenia przebyte i współistniejące;</w:t>
      </w:r>
    </w:p>
    <w:p w:rsidR="00884EB0" w:rsidRPr="0020723B" w:rsidRDefault="00884EB0" w:rsidP="00884EB0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tryb zabiegu: pilny lub planowy;</w:t>
      </w:r>
    </w:p>
    <w:p w:rsidR="00884EB0" w:rsidRPr="0020723B" w:rsidRDefault="00884EB0" w:rsidP="00884EB0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typ zabiegu: operacja czy reoperacja; oraz ryzyko:</w:t>
      </w:r>
    </w:p>
    <w:p w:rsidR="00884EB0" w:rsidRPr="0020723B" w:rsidRDefault="00884EB0" w:rsidP="00884EB0">
      <w:pPr>
        <w:pStyle w:val="Akapitzlist"/>
        <w:numPr>
          <w:ilvl w:val="2"/>
          <w:numId w:val="1"/>
        </w:numPr>
        <w:tabs>
          <w:tab w:val="left" w:pos="1954"/>
        </w:tabs>
        <w:spacing w:before="8" w:line="240" w:lineRule="auto"/>
        <w:ind w:left="1954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infekcji,</w:t>
      </w:r>
    </w:p>
    <w:p w:rsidR="00884EB0" w:rsidRPr="0020723B" w:rsidRDefault="00884EB0" w:rsidP="00884EB0">
      <w:pPr>
        <w:pStyle w:val="Akapitzlist"/>
        <w:numPr>
          <w:ilvl w:val="2"/>
          <w:numId w:val="1"/>
        </w:numPr>
        <w:tabs>
          <w:tab w:val="left" w:pos="1954"/>
        </w:tabs>
        <w:spacing w:before="7" w:line="240" w:lineRule="auto"/>
        <w:ind w:left="1954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krwawienia,</w:t>
      </w:r>
    </w:p>
    <w:p w:rsidR="00884EB0" w:rsidRPr="0020723B" w:rsidRDefault="00884EB0" w:rsidP="00884EB0">
      <w:pPr>
        <w:pStyle w:val="Akapitzlist"/>
        <w:numPr>
          <w:ilvl w:val="2"/>
          <w:numId w:val="1"/>
        </w:numPr>
        <w:tabs>
          <w:tab w:val="left" w:pos="1955"/>
        </w:tabs>
        <w:spacing w:before="8" w:line="240" w:lineRule="auto"/>
        <w:ind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zakrzepicy żył głębokich.</w:t>
      </w:r>
    </w:p>
    <w:p w:rsidR="00884EB0" w:rsidRPr="0020723B" w:rsidRDefault="00884EB0" w:rsidP="00884EB0">
      <w:pPr>
        <w:pStyle w:val="Tekstpodstawowy"/>
        <w:spacing w:before="15"/>
        <w:rPr>
          <w:rFonts w:ascii="Calibri" w:hAnsi="Calibri" w:cs="Arial"/>
          <w:sz w:val="22"/>
        </w:rPr>
      </w:pPr>
    </w:p>
    <w:p w:rsidR="00884EB0" w:rsidRPr="0020723B" w:rsidRDefault="00884EB0" w:rsidP="00884EB0">
      <w:pPr>
        <w:pStyle w:val="Tekstpodstawowy"/>
        <w:spacing w:before="1" w:line="247" w:lineRule="auto"/>
        <w:ind w:left="1275" w:right="705" w:hanging="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Pobierając świadomą zgodę na przeprowadzenie zabiegu, operator lub wskazany lekarz przed- stawia pacjentowi ocenę ryzyka zabiegu. Sposób oceny ryzyka i wynik tej oceny powinny być wyjaśnione pacjentowi w sposób zrozumiały.</w:t>
      </w:r>
    </w:p>
    <w:p w:rsidR="00884EB0" w:rsidRPr="0020723B" w:rsidRDefault="00884EB0" w:rsidP="00884EB0">
      <w:pPr>
        <w:pStyle w:val="Tekstpodstawowy"/>
        <w:spacing w:before="2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przypadku pacjenta niemogącego wyrazić świadomej zgod</w:t>
      </w:r>
      <w:r>
        <w:rPr>
          <w:rFonts w:ascii="Calibri" w:hAnsi="Calibri" w:cs="Arial"/>
          <w:sz w:val="22"/>
        </w:rPr>
        <w:t>y lub braku wskazania osoby upo</w:t>
      </w:r>
      <w:r w:rsidRPr="0020723B">
        <w:rPr>
          <w:rFonts w:ascii="Calibri" w:hAnsi="Calibri" w:cs="Arial"/>
          <w:sz w:val="22"/>
        </w:rPr>
        <w:t>ważnionej przez pacjenta, ocena ryzyka zabiegu powinna być przedstawiona osobie bliskiej lub przedstawicielowi ustawowemu pacjenta. Pacjent kwalifikowany do planowego zabiegu w przy- chodni przyszpitalnej, uzyskuje informacje na temat ryzyka zabiegu podczas wizyty w poradni. W sytuacjach nagłych, ocena ryzyka zabiegu może być ograniczona do wskazań określonych przez operatora z wpisem do historii choroby.</w:t>
      </w:r>
    </w:p>
    <w:p w:rsidR="00884EB0" w:rsidRPr="0020723B" w:rsidRDefault="00884EB0" w:rsidP="00884EB0">
      <w:pPr>
        <w:pStyle w:val="Heading6"/>
        <w:numPr>
          <w:ilvl w:val="0"/>
          <w:numId w:val="1"/>
        </w:numPr>
        <w:tabs>
          <w:tab w:val="left" w:pos="1274"/>
        </w:tabs>
        <w:spacing w:before="169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884EB0" w:rsidRPr="0020723B" w:rsidRDefault="00884EB0" w:rsidP="00884EB0">
      <w:pPr>
        <w:pStyle w:val="Akapitzlist"/>
        <w:numPr>
          <w:ilvl w:val="1"/>
          <w:numId w:val="1"/>
        </w:numPr>
        <w:tabs>
          <w:tab w:val="left" w:pos="1614"/>
        </w:tabs>
        <w:spacing w:before="205" w:line="240" w:lineRule="auto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884EB0" w:rsidRPr="0020723B" w:rsidRDefault="00884EB0" w:rsidP="00884EB0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884EB0" w:rsidRPr="0020723B" w:rsidRDefault="00884EB0" w:rsidP="00884EB0">
      <w:pPr>
        <w:pStyle w:val="Tekstpodstawowy"/>
        <w:tabs>
          <w:tab w:val="left" w:pos="1615"/>
        </w:tabs>
        <w:spacing w:before="205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dokumentacji medycznej zawiera ocenę ryzyka związanego z zabiegiem zgodnie z wymogami standardu.</w:t>
      </w:r>
    </w:p>
    <w:p w:rsidR="00884EB0" w:rsidRPr="0020723B" w:rsidRDefault="00884EB0" w:rsidP="00884EB0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70%-89% dokumentacji medycznej zawiera ocenę ryzyka związanego z zabiegiem zgodnie z wymogami standardu.</w:t>
      </w:r>
    </w:p>
    <w:p w:rsidR="00884EB0" w:rsidRPr="0020723B" w:rsidRDefault="00884EB0" w:rsidP="00884EB0">
      <w:pPr>
        <w:pStyle w:val="Tekstpodstawowy"/>
        <w:tabs>
          <w:tab w:val="left" w:pos="1615"/>
        </w:tabs>
        <w:spacing w:line="247" w:lineRule="auto"/>
        <w:ind w:left="1615" w:right="703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dokumentacji medycznej zawiera ocenę ryzyka związanego z zabiegiem zgodnie z wymogami standardu.</w:t>
      </w:r>
    </w:p>
    <w:p w:rsidR="00884EB0" w:rsidRPr="0020723B" w:rsidRDefault="00884EB0" w:rsidP="00884EB0">
      <w:pPr>
        <w:pStyle w:val="Heading9"/>
        <w:spacing w:before="207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lastRenderedPageBreak/>
        <w:t>Waga standardu – 1</w:t>
      </w:r>
    </w:p>
    <w:p w:rsidR="00427D73" w:rsidRDefault="00132001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2001" w:rsidRDefault="00132001" w:rsidP="00132001">
      <w:r>
        <w:separator/>
      </w:r>
    </w:p>
  </w:endnote>
  <w:endnote w:type="continuationSeparator" w:id="0">
    <w:p w:rsidR="00132001" w:rsidRDefault="00132001" w:rsidP="001320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2001" w:rsidRDefault="00132001" w:rsidP="00132001">
      <w:r>
        <w:separator/>
      </w:r>
    </w:p>
  </w:footnote>
  <w:footnote w:type="continuationSeparator" w:id="0">
    <w:p w:rsidR="00132001" w:rsidRDefault="00132001" w:rsidP="0013200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0F397A"/>
    <w:multiLevelType w:val="hybridMultilevel"/>
    <w:tmpl w:val="78FCD00E"/>
    <w:lvl w:ilvl="0" w:tplc="268E68FA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AD702170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A462DDC">
      <w:start w:val="1"/>
      <w:numFmt w:val="lowerLetter"/>
      <w:lvlText w:val="%3)"/>
      <w:lvlJc w:val="left"/>
      <w:pPr>
        <w:ind w:left="1955" w:hanging="34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5"/>
        <w:sz w:val="20"/>
        <w:szCs w:val="20"/>
        <w:lang w:val="pl-PL" w:eastAsia="en-US" w:bidi="ar-SA"/>
      </w:rPr>
    </w:lvl>
    <w:lvl w:ilvl="3" w:tplc="CDDE645C">
      <w:numFmt w:val="bullet"/>
      <w:lvlText w:val="•"/>
      <w:lvlJc w:val="left"/>
      <w:pPr>
        <w:ind w:left="2955" w:hanging="341"/>
      </w:pPr>
      <w:rPr>
        <w:rFonts w:hint="default"/>
        <w:lang w:val="pl-PL" w:eastAsia="en-US" w:bidi="ar-SA"/>
      </w:rPr>
    </w:lvl>
    <w:lvl w:ilvl="4" w:tplc="8D5EF3B8">
      <w:numFmt w:val="bullet"/>
      <w:lvlText w:val="•"/>
      <w:lvlJc w:val="left"/>
      <w:pPr>
        <w:ind w:left="3950" w:hanging="341"/>
      </w:pPr>
      <w:rPr>
        <w:rFonts w:hint="default"/>
        <w:lang w:val="pl-PL" w:eastAsia="en-US" w:bidi="ar-SA"/>
      </w:rPr>
    </w:lvl>
    <w:lvl w:ilvl="5" w:tplc="8B56C94E">
      <w:numFmt w:val="bullet"/>
      <w:lvlText w:val="•"/>
      <w:lvlJc w:val="left"/>
      <w:pPr>
        <w:ind w:left="4945" w:hanging="341"/>
      </w:pPr>
      <w:rPr>
        <w:rFonts w:hint="default"/>
        <w:lang w:val="pl-PL" w:eastAsia="en-US" w:bidi="ar-SA"/>
      </w:rPr>
    </w:lvl>
    <w:lvl w:ilvl="6" w:tplc="6960082C">
      <w:numFmt w:val="bullet"/>
      <w:lvlText w:val="•"/>
      <w:lvlJc w:val="left"/>
      <w:pPr>
        <w:ind w:left="5940" w:hanging="341"/>
      </w:pPr>
      <w:rPr>
        <w:rFonts w:hint="default"/>
        <w:lang w:val="pl-PL" w:eastAsia="en-US" w:bidi="ar-SA"/>
      </w:rPr>
    </w:lvl>
    <w:lvl w:ilvl="7" w:tplc="DE4CC0A4">
      <w:numFmt w:val="bullet"/>
      <w:lvlText w:val="•"/>
      <w:lvlJc w:val="left"/>
      <w:pPr>
        <w:ind w:left="6935" w:hanging="341"/>
      </w:pPr>
      <w:rPr>
        <w:rFonts w:hint="default"/>
        <w:lang w:val="pl-PL" w:eastAsia="en-US" w:bidi="ar-SA"/>
      </w:rPr>
    </w:lvl>
    <w:lvl w:ilvl="8" w:tplc="F446D362">
      <w:numFmt w:val="bullet"/>
      <w:lvlText w:val="•"/>
      <w:lvlJc w:val="left"/>
      <w:pPr>
        <w:ind w:left="7931" w:hanging="341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84EB0"/>
    <w:rsid w:val="000745AD"/>
    <w:rsid w:val="00132001"/>
    <w:rsid w:val="00682510"/>
    <w:rsid w:val="00884EB0"/>
    <w:rsid w:val="008C2E2A"/>
    <w:rsid w:val="00BA52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84EB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84EB0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84EB0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84EB0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84EB0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884EB0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84EB0"/>
    <w:pPr>
      <w:spacing w:line="240" w:lineRule="exact"/>
      <w:ind w:left="2181" w:hanging="343"/>
    </w:pPr>
  </w:style>
  <w:style w:type="paragraph" w:styleId="Nagwek">
    <w:name w:val="header"/>
    <w:basedOn w:val="Normalny"/>
    <w:link w:val="NagwekZnak"/>
    <w:uiPriority w:val="99"/>
    <w:semiHidden/>
    <w:unhideWhenUsed/>
    <w:rsid w:val="00132001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132001"/>
    <w:rPr>
      <w:rFonts w:ascii="Trebuchet MS" w:eastAsia="Trebuchet MS" w:hAnsi="Trebuchet MS" w:cs="Trebuchet MS"/>
    </w:rPr>
  </w:style>
  <w:style w:type="paragraph" w:styleId="Stopka">
    <w:name w:val="footer"/>
    <w:basedOn w:val="Normalny"/>
    <w:link w:val="StopkaZnak"/>
    <w:uiPriority w:val="99"/>
    <w:semiHidden/>
    <w:unhideWhenUsed/>
    <w:rsid w:val="0013200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132001"/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Magda Mierzwa</cp:lastModifiedBy>
  <cp:revision>2</cp:revision>
  <dcterms:created xsi:type="dcterms:W3CDTF">2025-11-06T08:32:00Z</dcterms:created>
  <dcterms:modified xsi:type="dcterms:W3CDTF">2025-11-06T08:32:00Z</dcterms:modified>
</cp:coreProperties>
</file>