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6D74" w:rsidRPr="0020723B" w:rsidRDefault="00F26D74" w:rsidP="00F26D74">
      <w:pPr>
        <w:pStyle w:val="Tekstpodstawowy"/>
        <w:spacing w:before="60"/>
        <w:rPr>
          <w:rFonts w:ascii="Calibri" w:hAnsi="Calibri" w:cs="Arial"/>
          <w:sz w:val="22"/>
        </w:rPr>
      </w:pPr>
    </w:p>
    <w:p w:rsidR="00F26D74" w:rsidRPr="0020723B" w:rsidRDefault="00F26D74" w:rsidP="00F26D74">
      <w:pPr>
        <w:pStyle w:val="Heading4"/>
        <w:spacing w:line="357" w:lineRule="exact"/>
        <w:ind w:left="1862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720" o:spid="_x0000_s1026" type="#_x0000_t202" style="position:absolute;left:0;text-align:left;margin-left:86.05pt;margin-top:-4.95pt;width:45.4pt;height:74.05pt;z-index:251660288;mso-position-horizontal-relative:page" filled="f" strokecolor="#bee3eb" strokeweight="2pt">
            <v:textbox inset="0,0,0,0">
              <w:txbxContent>
                <w:p w:rsidR="00F26D74" w:rsidRDefault="00F26D74" w:rsidP="00F26D74">
                  <w:pPr>
                    <w:pStyle w:val="Tekstpodstawowy"/>
                    <w:rPr>
                      <w:sz w:val="24"/>
                    </w:rPr>
                  </w:pPr>
                </w:p>
                <w:p w:rsidR="00F26D74" w:rsidRDefault="00F26D74" w:rsidP="00F26D74">
                  <w:pPr>
                    <w:pStyle w:val="Tekstpodstawowy"/>
                    <w:spacing w:before="4"/>
                    <w:rPr>
                      <w:sz w:val="24"/>
                    </w:rPr>
                  </w:pPr>
                </w:p>
                <w:p w:rsidR="00F26D74" w:rsidRDefault="00F26D74" w:rsidP="00F26D74">
                  <w:pPr>
                    <w:spacing w:before="1"/>
                    <w:ind w:left="117"/>
                    <w:rPr>
                      <w:rFonts w:ascii="Arial Black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0"/>
                      <w:sz w:val="24"/>
                    </w:rPr>
                    <w:t>ZZ</w:t>
                  </w:r>
                  <w:r>
                    <w:rPr>
                      <w:rFonts w:ascii="Arial Black"/>
                      <w:color w:val="072160"/>
                      <w:spacing w:val="-8"/>
                      <w:w w:val="8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5"/>
                      <w:w w:val="90"/>
                      <w:sz w:val="24"/>
                    </w:rPr>
                    <w:t>2.1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PRZED ZNIECZULENIEM DO ZABIEGÓW</w:t>
      </w:r>
    </w:p>
    <w:p w:rsidR="00F26D74" w:rsidRPr="0020723B" w:rsidRDefault="00F26D74" w:rsidP="00F26D74">
      <w:pPr>
        <w:pStyle w:val="Heading4"/>
        <w:spacing w:before="21" w:line="194" w:lineRule="auto"/>
        <w:ind w:left="1862" w:right="1446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PLANOWYCH, PACJENT JEST KONSULTOWANY W PORADNI ANESTEZJOLOGICZNEJ</w:t>
      </w:r>
    </w:p>
    <w:p w:rsidR="00F26D74" w:rsidRPr="0020723B" w:rsidRDefault="00F26D74" w:rsidP="00F26D74">
      <w:pPr>
        <w:pStyle w:val="Heading4"/>
        <w:spacing w:line="337" w:lineRule="exact"/>
        <w:ind w:left="1862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(STANDARD MOŻE BYĆ WYŁĄCZONY).</w:t>
      </w:r>
    </w:p>
    <w:p w:rsidR="00F26D74" w:rsidRPr="0020723B" w:rsidRDefault="00F26D74" w:rsidP="00F26D74">
      <w:pPr>
        <w:pStyle w:val="Heading6"/>
        <w:numPr>
          <w:ilvl w:val="0"/>
          <w:numId w:val="1"/>
        </w:numPr>
        <w:tabs>
          <w:tab w:val="left" w:pos="1842"/>
        </w:tabs>
        <w:spacing w:before="342"/>
        <w:ind w:hanging="328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F26D74" w:rsidRPr="0020723B" w:rsidRDefault="00F26D74" w:rsidP="00F26D74">
      <w:pPr>
        <w:pStyle w:val="Tekstpodstawowy"/>
        <w:spacing w:before="218" w:line="247" w:lineRule="auto"/>
        <w:ind w:left="1842" w:right="138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Konsultacja (porada) anestezjologiczna w zakresie kwalifikacji do znieczulenia przy planowych zabiegach operacyjnych, z wyłączeniem krótkotrwałych znieczuleń ogólnych, powinna odbywać się w poradni anestezjologicznej, przed przyjęciem do szpitala. Porada pozwala na wstępne okr</w:t>
      </w:r>
      <w:r w:rsidR="00FB46CE">
        <w:rPr>
          <w:rFonts w:ascii="Calibri" w:hAnsi="Calibri" w:cs="Arial"/>
          <w:sz w:val="22"/>
        </w:rPr>
        <w:t>e</w:t>
      </w:r>
      <w:r w:rsidRPr="0020723B">
        <w:rPr>
          <w:rFonts w:ascii="Calibri" w:hAnsi="Calibri" w:cs="Arial"/>
          <w:sz w:val="22"/>
        </w:rPr>
        <w:t>ślenie ryzyka znieczulenia, optymalne przygotowanie pacjenta, zmniejszenie ryzyka wystąpienia potencjalnych zdarzeń niepożądanych dotyczących znieczulenia i poprawy płynności w organizacji zabiegów operacyjnych. W przypadku stwierdzenia przeciwwskazań do znieczulenia, anestezjolog określa szczegółowe zalecenia tak, aby umożliwić wykonanie zabiegu. Zakres i przebieg konsultacji anestezjologicznej powinien być dołączony do historii choroby.</w:t>
      </w:r>
    </w:p>
    <w:p w:rsidR="00F26D74" w:rsidRPr="0020723B" w:rsidRDefault="00F26D74" w:rsidP="00F26D74">
      <w:pPr>
        <w:pStyle w:val="Heading6"/>
        <w:numPr>
          <w:ilvl w:val="0"/>
          <w:numId w:val="1"/>
        </w:numPr>
        <w:tabs>
          <w:tab w:val="left" w:pos="1841"/>
        </w:tabs>
        <w:spacing w:before="170"/>
        <w:ind w:left="1841" w:hanging="374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F26D74" w:rsidRPr="0020723B" w:rsidRDefault="00F26D74" w:rsidP="00F26D74">
      <w:pPr>
        <w:pStyle w:val="Akapitzlist"/>
        <w:numPr>
          <w:ilvl w:val="1"/>
          <w:numId w:val="1"/>
        </w:numPr>
        <w:tabs>
          <w:tab w:val="left" w:pos="2181"/>
        </w:tabs>
        <w:spacing w:before="206" w:line="240" w:lineRule="auto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medycznej.</w:t>
      </w:r>
    </w:p>
    <w:p w:rsidR="00F26D74" w:rsidRPr="0020723B" w:rsidRDefault="00F26D74" w:rsidP="00F26D74">
      <w:pPr>
        <w:pStyle w:val="Heading6"/>
        <w:numPr>
          <w:ilvl w:val="0"/>
          <w:numId w:val="1"/>
        </w:numPr>
        <w:tabs>
          <w:tab w:val="left" w:pos="1841"/>
        </w:tabs>
        <w:spacing w:before="171"/>
        <w:ind w:left="1841" w:hanging="382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F26D74" w:rsidRPr="0020723B" w:rsidRDefault="00F26D74" w:rsidP="00F26D74">
      <w:pPr>
        <w:pStyle w:val="Tekstpodstawowy"/>
        <w:tabs>
          <w:tab w:val="left" w:pos="2182"/>
        </w:tabs>
        <w:spacing w:before="206" w:line="247" w:lineRule="auto"/>
        <w:ind w:left="2182" w:right="144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50% i powyżej chorych do planowych operacji było konsul</w:t>
      </w:r>
      <w:r>
        <w:rPr>
          <w:rFonts w:ascii="Calibri" w:hAnsi="Calibri" w:cs="Arial"/>
          <w:sz w:val="22"/>
        </w:rPr>
        <w:t>towanych w poradni anestezjolo</w:t>
      </w:r>
      <w:r w:rsidRPr="0020723B">
        <w:rPr>
          <w:rFonts w:ascii="Calibri" w:hAnsi="Calibri" w:cs="Arial"/>
          <w:sz w:val="22"/>
        </w:rPr>
        <w:t>gicznej zgodnie z wymogami standardu.</w:t>
      </w:r>
    </w:p>
    <w:p w:rsidR="00F26D74" w:rsidRPr="0020723B" w:rsidRDefault="00F26D74" w:rsidP="00F26D74">
      <w:pPr>
        <w:pStyle w:val="Tekstpodstawowy"/>
        <w:tabs>
          <w:tab w:val="left" w:pos="1615"/>
        </w:tabs>
        <w:spacing w:before="79" w:line="247" w:lineRule="auto"/>
        <w:ind w:left="1620" w:right="701" w:hanging="204"/>
        <w:rPr>
          <w:rFonts w:ascii="Calibri" w:hAnsi="Calibri" w:cs="Arial"/>
          <w:sz w:val="22"/>
        </w:rPr>
      </w:pPr>
      <w:r>
        <w:rPr>
          <w:rFonts w:ascii="Calibri" w:hAnsi="Calibri" w:cs="Arial"/>
          <w:sz w:val="22"/>
        </w:rPr>
        <w:pict>
          <v:rect id="docshape1721" o:spid="_x0000_s1027" style="position:absolute;left:0;text-align:left;margin-left:0;margin-top:379.1pt;width:28.35pt;height:47.95pt;z-index:251661312;mso-position-horizontal-relative:page;mso-position-vertical-relative:page" fillcolor="#072160" stroked="f">
            <w10:wrap anchorx="page" anchory="page"/>
          </v:rect>
        </w:pict>
      </w:r>
      <w:r w:rsidRPr="0020723B">
        <w:rPr>
          <w:rFonts w:ascii="Calibri" w:hAnsi="Calibri" w:cs="Arial"/>
          <w:color w:val="072160"/>
          <w:sz w:val="22"/>
        </w:rPr>
        <w:t>3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Poniżej 50% chorych do planowych operacji było konsultowanych w poradni anestezjologicznej zgodnie z wymogami standardu.</w:t>
      </w:r>
    </w:p>
    <w:p w:rsidR="00F26D74" w:rsidRPr="0020723B" w:rsidRDefault="00F26D74" w:rsidP="00F26D74">
      <w:pPr>
        <w:pStyle w:val="Tekstpodstawowy"/>
        <w:tabs>
          <w:tab w:val="left" w:pos="1615"/>
        </w:tabs>
        <w:spacing w:line="234" w:lineRule="exact"/>
        <w:ind w:left="1280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Nie prowadzono konsultacji chorych w poradni anestezjologicznej.</w:t>
      </w:r>
    </w:p>
    <w:p w:rsidR="00F26D74" w:rsidRPr="0020723B" w:rsidRDefault="00F26D74" w:rsidP="00F26D74">
      <w:pPr>
        <w:pStyle w:val="Tekstpodstawowy"/>
        <w:spacing w:before="3"/>
        <w:ind w:left="5"/>
        <w:rPr>
          <w:rFonts w:ascii="Calibri" w:hAnsi="Calibri" w:cs="Arial"/>
          <w:sz w:val="22"/>
        </w:rPr>
      </w:pPr>
    </w:p>
    <w:p w:rsidR="00F26D74" w:rsidRPr="0020723B" w:rsidRDefault="00F26D74" w:rsidP="00F26D74">
      <w:pPr>
        <w:pStyle w:val="Heading9"/>
        <w:ind w:left="1280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0,5</w:t>
      </w:r>
    </w:p>
    <w:p w:rsidR="00F26D74" w:rsidRPr="0020723B" w:rsidRDefault="00F26D74" w:rsidP="00F26D74">
      <w:pPr>
        <w:pStyle w:val="Tekstpodstawowy"/>
        <w:spacing w:before="60"/>
        <w:ind w:left="5"/>
        <w:rPr>
          <w:rFonts w:ascii="Calibri" w:hAnsi="Calibri" w:cs="Arial"/>
          <w:sz w:val="22"/>
        </w:rPr>
      </w:pPr>
    </w:p>
    <w:p w:rsidR="00427D73" w:rsidRDefault="00FB46CE"/>
    <w:sectPr w:rsidR="00427D73" w:rsidSect="008C2E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EFB3029"/>
    <w:multiLevelType w:val="hybridMultilevel"/>
    <w:tmpl w:val="822A1CD6"/>
    <w:lvl w:ilvl="0" w:tplc="BEEA8AE6">
      <w:start w:val="1"/>
      <w:numFmt w:val="decimal"/>
      <w:lvlText w:val="%1."/>
      <w:lvlJc w:val="left"/>
      <w:pPr>
        <w:ind w:left="1842" w:hanging="329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39D072F0">
      <w:start w:val="1"/>
      <w:numFmt w:val="decimal"/>
      <w:lvlText w:val="%2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CDF6EE72">
      <w:numFmt w:val="bullet"/>
      <w:lvlText w:val="•"/>
      <w:lvlJc w:val="left"/>
      <w:pPr>
        <w:ind w:left="3040" w:hanging="344"/>
      </w:pPr>
      <w:rPr>
        <w:rFonts w:hint="default"/>
        <w:lang w:val="pl-PL" w:eastAsia="en-US" w:bidi="ar-SA"/>
      </w:rPr>
    </w:lvl>
    <w:lvl w:ilvl="3" w:tplc="3F9A4F20">
      <w:numFmt w:val="bullet"/>
      <w:lvlText w:val="•"/>
      <w:lvlJc w:val="left"/>
      <w:pPr>
        <w:ind w:left="3900" w:hanging="344"/>
      </w:pPr>
      <w:rPr>
        <w:rFonts w:hint="default"/>
        <w:lang w:val="pl-PL" w:eastAsia="en-US" w:bidi="ar-SA"/>
      </w:rPr>
    </w:lvl>
    <w:lvl w:ilvl="4" w:tplc="DBB406F2">
      <w:numFmt w:val="bullet"/>
      <w:lvlText w:val="•"/>
      <w:lvlJc w:val="left"/>
      <w:pPr>
        <w:ind w:left="4760" w:hanging="344"/>
      </w:pPr>
      <w:rPr>
        <w:rFonts w:hint="default"/>
        <w:lang w:val="pl-PL" w:eastAsia="en-US" w:bidi="ar-SA"/>
      </w:rPr>
    </w:lvl>
    <w:lvl w:ilvl="5" w:tplc="D75ED3FA">
      <w:numFmt w:val="bullet"/>
      <w:lvlText w:val="•"/>
      <w:lvlJc w:val="left"/>
      <w:pPr>
        <w:ind w:left="5620" w:hanging="344"/>
      </w:pPr>
      <w:rPr>
        <w:rFonts w:hint="default"/>
        <w:lang w:val="pl-PL" w:eastAsia="en-US" w:bidi="ar-SA"/>
      </w:rPr>
    </w:lvl>
    <w:lvl w:ilvl="6" w:tplc="ACDCE82E">
      <w:numFmt w:val="bullet"/>
      <w:lvlText w:val="•"/>
      <w:lvlJc w:val="left"/>
      <w:pPr>
        <w:ind w:left="6480" w:hanging="344"/>
      </w:pPr>
      <w:rPr>
        <w:rFonts w:hint="default"/>
        <w:lang w:val="pl-PL" w:eastAsia="en-US" w:bidi="ar-SA"/>
      </w:rPr>
    </w:lvl>
    <w:lvl w:ilvl="7" w:tplc="D4A44CE8">
      <w:numFmt w:val="bullet"/>
      <w:lvlText w:val="•"/>
      <w:lvlJc w:val="left"/>
      <w:pPr>
        <w:ind w:left="7341" w:hanging="344"/>
      </w:pPr>
      <w:rPr>
        <w:rFonts w:hint="default"/>
        <w:lang w:val="pl-PL" w:eastAsia="en-US" w:bidi="ar-SA"/>
      </w:rPr>
    </w:lvl>
    <w:lvl w:ilvl="8" w:tplc="CFDCE634">
      <w:numFmt w:val="bullet"/>
      <w:lvlText w:val="•"/>
      <w:lvlJc w:val="left"/>
      <w:pPr>
        <w:ind w:left="8201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F26D74"/>
    <w:rsid w:val="000745AD"/>
    <w:rsid w:val="00682510"/>
    <w:rsid w:val="008C2E2A"/>
    <w:rsid w:val="00F26D74"/>
    <w:rsid w:val="00FB46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F26D74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F26D74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F26D74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F26D74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F26D74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F26D74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F26D74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181</Words>
  <Characters>1091</Characters>
  <Application>Microsoft Office Word</Application>
  <DocSecurity>0</DocSecurity>
  <Lines>9</Lines>
  <Paragraphs>2</Paragraphs>
  <ScaleCrop>false</ScaleCrop>
  <Company/>
  <LinksUpToDate>false</LinksUpToDate>
  <CharactersWithSpaces>1270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2025-07-21T10:06:00Z</dcterms:created>
  <dcterms:modified xsi:type="dcterms:W3CDTF">2025-07-21T10:06:00Z</dcterms:modified>
</cp:coreProperties>
</file>