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35E" w:rsidRPr="0020723B" w:rsidRDefault="00A1335E" w:rsidP="00A1335E">
      <w:pPr>
        <w:pStyle w:val="Tekstpodstawowy"/>
        <w:spacing w:before="60"/>
        <w:rPr>
          <w:rFonts w:ascii="Calibri" w:hAnsi="Calibri" w:cs="Arial"/>
          <w:sz w:val="22"/>
        </w:rPr>
      </w:pPr>
    </w:p>
    <w:p w:rsidR="00A1335E" w:rsidRPr="0020723B" w:rsidRDefault="00A1335E" w:rsidP="00A1335E">
      <w:pPr>
        <w:pStyle w:val="Heading4"/>
        <w:spacing w:line="357" w:lineRule="exact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22" o:spid="_x0000_s1026" type="#_x0000_t202" style="position:absolute;left:0;text-align:left;margin-left:57.7pt;margin-top:-4.95pt;width:45.4pt;height:58.05pt;z-index:251660288;mso-position-horizontal-relative:page" filled="f" strokecolor="#bee3eb" strokeweight="2pt">
            <v:textbox inset="0,0,0,0">
              <w:txbxContent>
                <w:p w:rsidR="00A1335E" w:rsidRDefault="00A1335E" w:rsidP="00A1335E">
                  <w:pPr>
                    <w:pStyle w:val="Tekstpodstawowy"/>
                    <w:spacing w:before="123"/>
                    <w:rPr>
                      <w:sz w:val="24"/>
                    </w:rPr>
                  </w:pPr>
                </w:p>
                <w:p w:rsidR="00A1335E" w:rsidRDefault="00A1335E" w:rsidP="00A1335E">
                  <w:pPr>
                    <w:ind w:left="94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2.2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PRZED ZABIEGIEM OCENIANE JEST</w:t>
      </w:r>
    </w:p>
    <w:p w:rsidR="00A1335E" w:rsidRPr="0020723B" w:rsidRDefault="00A1335E" w:rsidP="00A1335E">
      <w:pPr>
        <w:pStyle w:val="Heading4"/>
        <w:spacing w:before="21" w:line="194" w:lineRule="auto"/>
        <w:ind w:left="1295" w:right="2077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RYZYKO ZWIĄZANE ZE ZNIECZULENIEM (STANDARD MOŻE BYĆ WYŁĄCZONY).</w:t>
      </w:r>
    </w:p>
    <w:p w:rsidR="00A1335E" w:rsidRPr="0020723B" w:rsidRDefault="00A1335E" w:rsidP="00A1335E">
      <w:pPr>
        <w:pStyle w:val="Tekstpodstawowy"/>
        <w:spacing w:before="44"/>
        <w:rPr>
          <w:rFonts w:ascii="Calibri" w:hAnsi="Calibri" w:cs="Arial"/>
          <w:sz w:val="22"/>
        </w:rPr>
      </w:pPr>
    </w:p>
    <w:p w:rsidR="00A1335E" w:rsidRPr="0020723B" w:rsidRDefault="00A1335E" w:rsidP="00A1335E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A1335E" w:rsidRPr="0020723B" w:rsidRDefault="00A1335E" w:rsidP="00A1335E">
      <w:pPr>
        <w:pStyle w:val="Tekstpodstawowy"/>
        <w:spacing w:before="218" w:line="247" w:lineRule="auto"/>
        <w:ind w:left="1275" w:right="70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Wstępna ocena ryzyka znieczulenia jest prowadzona podczas konsultacji anestezjologicznej w poradni przyszpitalnej dla pacjentów kwalifikowanych do zabiegów planowych; dla pozostałych pacjentów ocena ryzyka znieczulenia jest prowadzona w trakcie hospitalizacji. Do oceny ryzyka znieczulenia szpital wykorzystuje skale, przede wszystkim skalę ASA (ang. American </w:t>
      </w:r>
      <w:proofErr w:type="spellStart"/>
      <w:r w:rsidRPr="0020723B">
        <w:rPr>
          <w:rFonts w:ascii="Calibri" w:hAnsi="Calibri" w:cs="Arial"/>
          <w:sz w:val="22"/>
        </w:rPr>
        <w:t>Society</w:t>
      </w:r>
      <w:proofErr w:type="spellEnd"/>
      <w:r w:rsidRPr="0020723B">
        <w:rPr>
          <w:rFonts w:ascii="Calibri" w:hAnsi="Calibri" w:cs="Arial"/>
          <w:sz w:val="22"/>
        </w:rPr>
        <w:t xml:space="preserve"> of </w:t>
      </w:r>
      <w:proofErr w:type="spellStart"/>
      <w:r w:rsidRPr="0020723B">
        <w:rPr>
          <w:rFonts w:ascii="Calibri" w:hAnsi="Calibri" w:cs="Arial"/>
          <w:sz w:val="22"/>
        </w:rPr>
        <w:t>Anesthesiologists</w:t>
      </w:r>
      <w:proofErr w:type="spellEnd"/>
      <w:r w:rsidRPr="0020723B">
        <w:rPr>
          <w:rFonts w:ascii="Calibri" w:hAnsi="Calibri" w:cs="Arial"/>
          <w:sz w:val="22"/>
        </w:rPr>
        <w:t xml:space="preserve"> – </w:t>
      </w:r>
      <w:proofErr w:type="spellStart"/>
      <w:r w:rsidRPr="0020723B">
        <w:rPr>
          <w:rFonts w:ascii="Calibri" w:hAnsi="Calibri" w:cs="Arial"/>
          <w:sz w:val="22"/>
        </w:rPr>
        <w:t>Physical</w:t>
      </w:r>
      <w:proofErr w:type="spellEnd"/>
      <w:r w:rsidRPr="0020723B">
        <w:rPr>
          <w:rFonts w:ascii="Calibri" w:hAnsi="Calibri" w:cs="Arial"/>
          <w:sz w:val="22"/>
        </w:rPr>
        <w:t xml:space="preserve"> Status </w:t>
      </w:r>
      <w:proofErr w:type="spellStart"/>
      <w:r w:rsidRPr="0020723B">
        <w:rPr>
          <w:rFonts w:ascii="Calibri" w:hAnsi="Calibri" w:cs="Arial"/>
          <w:sz w:val="22"/>
        </w:rPr>
        <w:t>Classification</w:t>
      </w:r>
      <w:proofErr w:type="spellEnd"/>
      <w:r w:rsidRPr="0020723B">
        <w:rPr>
          <w:rFonts w:ascii="Calibri" w:hAnsi="Calibri" w:cs="Arial"/>
          <w:sz w:val="22"/>
        </w:rPr>
        <w:t xml:space="preserve"> System). Zabiegi chirurgiczne, ginekologiczne, stomatologiczne, okulistyczne i inne wykonywane w znieczuleniu miejscowym mogą odbywać się bez udziału anestezjologa i nie wymagają oceny anestezjologicznej. Ocena ryzyka znieczulenia powinna być udokumentowana w historii choroby. Szpital ustala postępowanie, gdy ocena ryzyka związanego ze znieczuleniem nie jest w pełni możliwa.</w:t>
      </w:r>
    </w:p>
    <w:p w:rsidR="00A1335E" w:rsidRPr="0020723B" w:rsidRDefault="00A1335E" w:rsidP="00A1335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A1335E" w:rsidRPr="0020723B" w:rsidRDefault="00A1335E" w:rsidP="00A1335E">
      <w:pPr>
        <w:pStyle w:val="Akapitzlist"/>
        <w:numPr>
          <w:ilvl w:val="1"/>
          <w:numId w:val="1"/>
        </w:numPr>
        <w:tabs>
          <w:tab w:val="left" w:pos="1614"/>
        </w:tabs>
        <w:spacing w:before="205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A1335E" w:rsidRPr="0020723B" w:rsidRDefault="00A1335E" w:rsidP="00A1335E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A1335E" w:rsidRPr="0020723B" w:rsidRDefault="00A1335E" w:rsidP="00A1335E">
      <w:pPr>
        <w:pStyle w:val="Tekstpodstawowy"/>
        <w:spacing w:before="205" w:line="247" w:lineRule="auto"/>
        <w:ind w:left="1615" w:right="70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</w:t>
      </w:r>
      <w:r w:rsidRPr="0020723B">
        <w:rPr>
          <w:rFonts w:ascii="Calibri" w:hAnsi="Calibri" w:cs="Arial"/>
          <w:sz w:val="22"/>
        </w:rPr>
        <w:t>100% dokumentacji medycznej pacjentów operowanych zawiera ocenę ryzyka związanego ze znieczuleniem zgodnie z wymogami standardu lub uzasadnienie braku możliwości pełnej oceny ryzyka związanego ze znieczuleniem.</w:t>
      </w:r>
    </w:p>
    <w:p w:rsidR="00A1335E" w:rsidRPr="0020723B" w:rsidRDefault="00A1335E" w:rsidP="00A1335E">
      <w:pPr>
        <w:pStyle w:val="Tekstpodstawowy"/>
        <w:spacing w:line="247" w:lineRule="auto"/>
        <w:ind w:left="1615" w:right="70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 w:rsidRPr="0020723B">
        <w:rPr>
          <w:rFonts w:ascii="Calibri" w:hAnsi="Calibri" w:cs="Arial"/>
          <w:sz w:val="22"/>
        </w:rPr>
        <w:t>Poniżej 100% dokumentacji medycznej pacjentów operowa</w:t>
      </w:r>
      <w:r>
        <w:rPr>
          <w:rFonts w:ascii="Calibri" w:hAnsi="Calibri" w:cs="Arial"/>
          <w:sz w:val="22"/>
        </w:rPr>
        <w:t>nych zawiera ocenę ryzyka zwią</w:t>
      </w:r>
      <w:r w:rsidRPr="0020723B">
        <w:rPr>
          <w:rFonts w:ascii="Calibri" w:hAnsi="Calibri" w:cs="Arial"/>
          <w:sz w:val="22"/>
        </w:rPr>
        <w:t>zanego ze znieczuleniem zgodnie z wymogami standardu lub uzasadnienie braku możliwości pełnej oceny ryzyka związanego ze znieczuleniem.</w:t>
      </w:r>
    </w:p>
    <w:p w:rsidR="00A1335E" w:rsidRPr="0020723B" w:rsidRDefault="00A1335E" w:rsidP="00A1335E">
      <w:pPr>
        <w:pStyle w:val="Heading9"/>
        <w:spacing w:before="220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A1335E" w:rsidRPr="0020723B" w:rsidRDefault="00A1335E" w:rsidP="00A1335E">
      <w:pPr>
        <w:pStyle w:val="Tekstpodstawowy"/>
        <w:spacing w:before="105"/>
        <w:rPr>
          <w:rFonts w:ascii="Calibri" w:hAnsi="Calibri" w:cs="Arial"/>
          <w:sz w:val="22"/>
        </w:rPr>
      </w:pPr>
    </w:p>
    <w:p w:rsidR="00427D73" w:rsidRDefault="00A1335E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8751DA"/>
    <w:multiLevelType w:val="hybridMultilevel"/>
    <w:tmpl w:val="D074A622"/>
    <w:lvl w:ilvl="0" w:tplc="DE24CCEC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ED4057C8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764C83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886871E0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021A0A60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69E86C3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9FD8C4F8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E34C9E52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30AA3FAC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1335E"/>
    <w:rsid w:val="000745AD"/>
    <w:rsid w:val="00682510"/>
    <w:rsid w:val="008C2E2A"/>
    <w:rsid w:val="00A133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1335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1335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1335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1335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1335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1335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1335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2025-07-21T10:06:00Z</dcterms:created>
  <dcterms:modified xsi:type="dcterms:W3CDTF">2025-07-21T10:06:00Z</dcterms:modified>
</cp:coreProperties>
</file>