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A25" w:rsidRPr="0020723B" w:rsidRDefault="00930A25" w:rsidP="00930A25">
      <w:pPr>
        <w:pStyle w:val="Heading4"/>
        <w:spacing w:line="357" w:lineRule="exact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23" o:spid="_x0000_s1026" type="#_x0000_t202" style="position:absolute;left:0;text-align:left;margin-left:56.7pt;margin-top:-8.2pt;width:45.4pt;height:64.6pt;z-index:251660288;mso-position-horizontal-relative:page" fillcolor="#bee3eb" stroked="f">
            <v:textbox inset="0,0,0,0">
              <w:txbxContent>
                <w:p w:rsidR="00930A25" w:rsidRDefault="00930A25" w:rsidP="00930A25">
                  <w:pPr>
                    <w:pStyle w:val="Tekstpodstawowy"/>
                    <w:spacing w:before="208"/>
                    <w:rPr>
                      <w:color w:val="000000"/>
                      <w:sz w:val="24"/>
                    </w:rPr>
                  </w:pPr>
                </w:p>
                <w:p w:rsidR="00930A25" w:rsidRDefault="00930A25" w:rsidP="00930A25">
                  <w:pPr>
                    <w:spacing w:before="1"/>
                    <w:ind w:left="212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PARAMETRY FIZJOLOGICZNE PACJENTA SĄ</w:t>
      </w:r>
    </w:p>
    <w:p w:rsidR="00930A25" w:rsidRPr="0020723B" w:rsidRDefault="00930A25" w:rsidP="00930A25">
      <w:pPr>
        <w:pStyle w:val="Heading4"/>
        <w:spacing w:before="22" w:line="194" w:lineRule="auto"/>
        <w:ind w:left="1275" w:right="707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MIERZONE I DOKUMENTOWANE W TRAKCIE TRWANIA ZABIEGU (STANDARD MOŻE BYĆ WYŁĄCZONY).</w:t>
      </w:r>
    </w:p>
    <w:p w:rsidR="00930A25" w:rsidRPr="0020723B" w:rsidRDefault="00930A25" w:rsidP="00930A25">
      <w:pPr>
        <w:pStyle w:val="Heading6"/>
        <w:numPr>
          <w:ilvl w:val="0"/>
          <w:numId w:val="2"/>
        </w:numPr>
        <w:tabs>
          <w:tab w:val="left" w:pos="1275"/>
        </w:tabs>
        <w:spacing w:before="393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wymagań:</w:t>
      </w:r>
    </w:p>
    <w:p w:rsidR="00930A25" w:rsidRPr="0020723B" w:rsidRDefault="00930A25" w:rsidP="00930A25">
      <w:pPr>
        <w:pStyle w:val="Tekstpodstawowy"/>
        <w:spacing w:before="218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Monitorowanie znieczulenia pacjenta podczas zabiegu obejmuje co najmniej:</w:t>
      </w:r>
    </w:p>
    <w:p w:rsidR="00930A25" w:rsidRPr="0020723B" w:rsidRDefault="00930A25" w:rsidP="00930A25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EKG;</w:t>
      </w:r>
    </w:p>
    <w:p w:rsidR="00930A25" w:rsidRPr="0020723B" w:rsidRDefault="00930A25" w:rsidP="00930A25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proofErr w:type="spellStart"/>
      <w:r w:rsidRPr="0020723B">
        <w:rPr>
          <w:rFonts w:ascii="Calibri" w:hAnsi="Calibri" w:cs="Arial"/>
          <w:szCs w:val="20"/>
        </w:rPr>
        <w:t>pulsoksymetrię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930A25" w:rsidRPr="0020723B" w:rsidRDefault="00930A25" w:rsidP="00930A25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nieinwazyjny pomiar ciśnienia tętniczego krwi;</w:t>
      </w:r>
    </w:p>
    <w:p w:rsidR="00930A25" w:rsidRPr="0020723B" w:rsidRDefault="00930A25" w:rsidP="00930A25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kapnografię u chorych </w:t>
      </w:r>
      <w:proofErr w:type="spellStart"/>
      <w:r w:rsidRPr="0020723B">
        <w:rPr>
          <w:rFonts w:ascii="Calibri" w:hAnsi="Calibri" w:cs="Arial"/>
          <w:szCs w:val="20"/>
        </w:rPr>
        <w:t>intubowanych</w:t>
      </w:r>
      <w:proofErr w:type="spellEnd"/>
      <w:r w:rsidRPr="0020723B">
        <w:rPr>
          <w:rFonts w:ascii="Calibri" w:hAnsi="Calibri" w:cs="Arial"/>
          <w:szCs w:val="20"/>
        </w:rPr>
        <w:t>.</w:t>
      </w:r>
    </w:p>
    <w:p w:rsidR="00930A25" w:rsidRPr="0020723B" w:rsidRDefault="00930A25" w:rsidP="00930A25">
      <w:pPr>
        <w:pStyle w:val="Tekstpodstawowy"/>
        <w:spacing w:before="7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Dla zabiegów bez udziału anestezjologa, pomiarowi podlegają co najmniej:</w:t>
      </w:r>
    </w:p>
    <w:p w:rsidR="00930A25" w:rsidRPr="0020723B" w:rsidRDefault="00930A25" w:rsidP="00930A25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tętno;</w:t>
      </w:r>
    </w:p>
    <w:p w:rsidR="00930A25" w:rsidRPr="0020723B" w:rsidRDefault="00930A25" w:rsidP="00930A25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proofErr w:type="spellStart"/>
      <w:r w:rsidRPr="0020723B">
        <w:rPr>
          <w:rFonts w:ascii="Calibri" w:hAnsi="Calibri" w:cs="Arial"/>
          <w:szCs w:val="20"/>
        </w:rPr>
        <w:t>pulsoksymetria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930A25" w:rsidRPr="0020723B" w:rsidRDefault="00930A25" w:rsidP="00930A25">
      <w:pPr>
        <w:pStyle w:val="Akapitzlist"/>
        <w:numPr>
          <w:ilvl w:val="0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nieinwazyjny pomiar ciśnienia tętniczego krwi.</w:t>
      </w:r>
    </w:p>
    <w:p w:rsidR="00930A25" w:rsidRPr="0020723B" w:rsidRDefault="00930A25" w:rsidP="00930A25">
      <w:pPr>
        <w:pStyle w:val="Heading6"/>
        <w:numPr>
          <w:ilvl w:val="0"/>
          <w:numId w:val="2"/>
        </w:numPr>
        <w:tabs>
          <w:tab w:val="left" w:pos="1841"/>
        </w:tabs>
        <w:spacing w:before="75"/>
        <w:ind w:left="1841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724" o:spid="_x0000_s1027" type="#_x0000_t202" style="position:absolute;left:0;text-align:left;margin-left:568.95pt;margin-top:378.1pt;width:24.4pt;height:49.95pt;z-index:251661312;mso-position-horizontal-relative:page;mso-position-vertical-relative:page" filled="f" stroked="f">
            <v:textbox style="layout-flow:vertical" inset="0,0,0,0">
              <w:txbxContent>
                <w:p w:rsidR="00930A25" w:rsidRDefault="00930A25" w:rsidP="00930A25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2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ZZ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930A25" w:rsidRPr="0020723B" w:rsidRDefault="00930A25" w:rsidP="00930A25">
      <w:pPr>
        <w:pStyle w:val="Akapitzlist"/>
        <w:numPr>
          <w:ilvl w:val="1"/>
          <w:numId w:val="2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930A25" w:rsidRPr="0020723B" w:rsidRDefault="00930A25" w:rsidP="00930A25">
      <w:pPr>
        <w:pStyle w:val="Heading6"/>
        <w:numPr>
          <w:ilvl w:val="0"/>
          <w:numId w:val="2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930A25" w:rsidRPr="0020723B" w:rsidRDefault="00930A25" w:rsidP="00930A25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100% dokumentacji medycznej zawiera potwierdzenie, że parametry fizjologiczne pacjenta są mierzone i oceniane w trakcie trwania zabiegu.</w:t>
      </w:r>
    </w:p>
    <w:p w:rsidR="00930A25" w:rsidRPr="0020723B" w:rsidRDefault="00930A25" w:rsidP="00930A25">
      <w:pPr>
        <w:pStyle w:val="Tekstpodstawowy"/>
        <w:tabs>
          <w:tab w:val="left" w:pos="2182"/>
        </w:tabs>
        <w:spacing w:line="247" w:lineRule="auto"/>
        <w:ind w:left="2182" w:right="13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100% dokumentacji medycznej zawiera potwierdzenie, że parametry fizjologiczne pacjenta są mierzone i oceniane w trakcie trwania zabiegu.</w:t>
      </w:r>
    </w:p>
    <w:p w:rsidR="00930A25" w:rsidRPr="0020723B" w:rsidRDefault="00930A25" w:rsidP="00930A25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930A25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6A3623"/>
    <w:multiLevelType w:val="hybridMultilevel"/>
    <w:tmpl w:val="253CF19E"/>
    <w:lvl w:ilvl="0" w:tplc="F84AEDDA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515CB4D6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F824065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116A4BE8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9A901B7C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ED4E88F2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3A44A976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B74C63B2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13E22A98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abstractNum w:abstractNumId="1">
    <w:nsid w:val="7E7475A8"/>
    <w:multiLevelType w:val="hybridMultilevel"/>
    <w:tmpl w:val="0C1E497A"/>
    <w:lvl w:ilvl="0" w:tplc="546AC864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1C5E9712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083AF6F0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F1585308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C20CCFD8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267850A2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A9DE54CE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EB166B54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17F8F7BC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930A25"/>
    <w:rsid w:val="000745AD"/>
    <w:rsid w:val="00682510"/>
    <w:rsid w:val="008C2E2A"/>
    <w:rsid w:val="00930A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930A2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930A2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930A2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930A2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930A2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930A2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930A2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712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2025-07-21T10:07:00Z</dcterms:created>
  <dcterms:modified xsi:type="dcterms:W3CDTF">2025-07-21T10:07:00Z</dcterms:modified>
</cp:coreProperties>
</file>