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2C4" w:rsidRPr="0020723B" w:rsidRDefault="00E452C4" w:rsidP="00E452C4">
      <w:pPr>
        <w:pStyle w:val="Tekstpodstawowy"/>
        <w:spacing w:before="140"/>
        <w:rPr>
          <w:rFonts w:ascii="Calibri" w:hAnsi="Calibri" w:cs="Arial"/>
          <w:sz w:val="22"/>
        </w:rPr>
      </w:pPr>
    </w:p>
    <w:p w:rsidR="00E452C4" w:rsidRPr="0020723B" w:rsidRDefault="00E452C4" w:rsidP="00E452C4">
      <w:pPr>
        <w:pStyle w:val="Heading4"/>
        <w:spacing w:line="194" w:lineRule="auto"/>
        <w:ind w:left="1862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62" o:spid="_x0000_s1026" type="#_x0000_t202" style="position:absolute;left:0;text-align:left;margin-left:86.05pt;margin-top:-9.5pt;width:45.4pt;height:45.4pt;z-index:251660288;mso-position-horizontal-relative:page" filled="f" strokecolor="#bee3eb" strokeweight="2pt">
            <v:textbox inset="0,0,0,0">
              <w:txbxContent>
                <w:p w:rsidR="00E452C4" w:rsidRDefault="00E452C4" w:rsidP="00E452C4">
                  <w:pPr>
                    <w:spacing w:before="275"/>
                    <w:ind w:left="102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BP</w:t>
                  </w:r>
                  <w:r>
                    <w:rPr>
                      <w:rFonts w:ascii="Arial Black"/>
                      <w:color w:val="072160"/>
                      <w:spacing w:val="-1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IDENTYFIKUJE ZDARZENIA NIEPOŻĄDANE, KTÓRE NIE DOSIĘGNĘŁY PACJENTA.</w:t>
      </w:r>
    </w:p>
    <w:p w:rsidR="00E452C4" w:rsidRPr="0020723B" w:rsidRDefault="00E452C4" w:rsidP="00E452C4">
      <w:pPr>
        <w:pStyle w:val="Tekstpodstawowy"/>
        <w:spacing w:before="4"/>
        <w:rPr>
          <w:rFonts w:ascii="Calibri" w:hAnsi="Calibri" w:cs="Arial"/>
          <w:sz w:val="22"/>
        </w:rPr>
      </w:pPr>
    </w:p>
    <w:p w:rsidR="00E452C4" w:rsidRPr="0020723B" w:rsidRDefault="00E452C4" w:rsidP="00E452C4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452C4" w:rsidRPr="0020723B" w:rsidRDefault="00E452C4" w:rsidP="00E452C4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trakcie hospitalizacji może dochodzić do sytuacji, w której wszystko zmierzało do wystąpienia zdarzenia niepożądanego, ale ostatecznie udało się go uniknąć, c</w:t>
      </w:r>
      <w:r>
        <w:rPr>
          <w:rFonts w:ascii="Calibri" w:hAnsi="Calibri" w:cs="Arial"/>
          <w:sz w:val="22"/>
        </w:rPr>
        <w:t>zyli do wystąpienia tzw. niedo</w:t>
      </w:r>
      <w:r w:rsidRPr="0020723B">
        <w:rPr>
          <w:rFonts w:ascii="Calibri" w:hAnsi="Calibri" w:cs="Arial"/>
          <w:sz w:val="22"/>
        </w:rPr>
        <w:t>szłego zdarzenia niepożądanego.</w:t>
      </w:r>
    </w:p>
    <w:p w:rsidR="00E452C4" w:rsidRPr="0020723B" w:rsidRDefault="00E452C4" w:rsidP="00E452C4">
      <w:pPr>
        <w:pStyle w:val="Tekstpodstawowy"/>
        <w:spacing w:before="2" w:line="247" w:lineRule="auto"/>
        <w:ind w:left="1842" w:right="14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Analizowanie takich zdarzeń jest użyteczne i poznawcze, gdyż istotna jest nie tylko informacja na temat wyniku lub rezultatu działania czy procesu, ale także wiedza, dotycząca przebiegu działania lub procesu, który wymaga skorygowania i zmiany.</w:t>
      </w:r>
    </w:p>
    <w:p w:rsidR="00E452C4" w:rsidRPr="0020723B" w:rsidRDefault="00E452C4" w:rsidP="00E452C4">
      <w:pPr>
        <w:pStyle w:val="Tekstpodstawowy"/>
        <w:spacing w:before="10"/>
        <w:rPr>
          <w:rFonts w:ascii="Calibri" w:hAnsi="Calibri" w:cs="Arial"/>
          <w:sz w:val="22"/>
        </w:rPr>
      </w:pPr>
    </w:p>
    <w:p w:rsidR="00E452C4" w:rsidRPr="0020723B" w:rsidRDefault="00E452C4" w:rsidP="00E452C4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Obejmują one między innymi aspekty związane z:</w:t>
      </w:r>
    </w:p>
    <w:p w:rsidR="00E452C4" w:rsidRPr="0020723B" w:rsidRDefault="00E452C4" w:rsidP="00E452C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działalnością kliniczną;</w:t>
      </w:r>
    </w:p>
    <w:p w:rsidR="00E452C4" w:rsidRPr="0020723B" w:rsidRDefault="00E452C4" w:rsidP="00E452C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farmakoterapią;</w:t>
      </w:r>
    </w:p>
    <w:p w:rsidR="00E452C4" w:rsidRPr="0020723B" w:rsidRDefault="00E452C4" w:rsidP="00E452C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przetaczaniem krwi i jej składników;</w:t>
      </w:r>
    </w:p>
    <w:p w:rsidR="00E452C4" w:rsidRPr="0020723B" w:rsidRDefault="00E452C4" w:rsidP="00E452C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sprzętem medycznym, wyposażeniem;</w:t>
      </w:r>
    </w:p>
    <w:p w:rsidR="00E452C4" w:rsidRPr="0020723B" w:rsidRDefault="00E452C4" w:rsidP="00E452C4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zasobami ludzkimi.</w:t>
      </w:r>
    </w:p>
    <w:p w:rsidR="00E452C4" w:rsidRPr="0020723B" w:rsidRDefault="00E452C4" w:rsidP="00E452C4">
      <w:pPr>
        <w:pStyle w:val="Tekstpodstawowy"/>
        <w:spacing w:before="179"/>
        <w:rPr>
          <w:rFonts w:ascii="Calibri" w:hAnsi="Calibri" w:cs="Arial"/>
          <w:sz w:val="22"/>
        </w:rPr>
      </w:pPr>
    </w:p>
    <w:p w:rsidR="00E452C4" w:rsidRPr="0020723B" w:rsidRDefault="00E452C4" w:rsidP="00E452C4">
      <w:pPr>
        <w:pStyle w:val="Heading6"/>
        <w:numPr>
          <w:ilvl w:val="0"/>
          <w:numId w:val="1"/>
        </w:numPr>
        <w:tabs>
          <w:tab w:val="left" w:pos="1841"/>
        </w:tabs>
        <w:spacing w:before="1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452C4" w:rsidRPr="0020723B" w:rsidRDefault="00E452C4" w:rsidP="00E452C4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E452C4" w:rsidRPr="0020723B" w:rsidRDefault="00E452C4" w:rsidP="00E452C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E452C4" w:rsidRPr="0020723B" w:rsidRDefault="00E452C4" w:rsidP="00E452C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E452C4" w:rsidRPr="0020723B" w:rsidRDefault="00E452C4" w:rsidP="00E452C4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E452C4" w:rsidRPr="0020723B" w:rsidRDefault="00E452C4" w:rsidP="00E452C4">
      <w:pPr>
        <w:pStyle w:val="Tekstpodstawowy"/>
        <w:spacing w:before="179"/>
        <w:rPr>
          <w:rFonts w:ascii="Calibri" w:hAnsi="Calibri" w:cs="Arial"/>
          <w:sz w:val="22"/>
        </w:rPr>
      </w:pPr>
    </w:p>
    <w:p w:rsidR="00E452C4" w:rsidRPr="0020723B" w:rsidRDefault="00E452C4" w:rsidP="00E452C4">
      <w:pPr>
        <w:pStyle w:val="Heading6"/>
        <w:numPr>
          <w:ilvl w:val="0"/>
          <w:numId w:val="1"/>
        </w:numPr>
        <w:tabs>
          <w:tab w:val="left" w:pos="1841"/>
        </w:tabs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452C4" w:rsidRPr="0020723B" w:rsidRDefault="00E452C4" w:rsidP="00E452C4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identyfikuje niedoszłe zdarzenia niepożądane zgodnie z wymogami standardu.</w:t>
      </w:r>
    </w:p>
    <w:p w:rsidR="00E452C4" w:rsidRPr="0020723B" w:rsidRDefault="00E452C4" w:rsidP="00E452C4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identyfikuje niedoszłych zdarzeń niepożądanych dotyczących działalności klinicznej.</w:t>
      </w:r>
    </w:p>
    <w:p w:rsidR="00E452C4" w:rsidRPr="0020723B" w:rsidRDefault="00E452C4" w:rsidP="00E452C4">
      <w:pPr>
        <w:pStyle w:val="Tekstpodstawowy"/>
        <w:spacing w:before="3"/>
        <w:rPr>
          <w:rFonts w:ascii="Calibri" w:hAnsi="Calibri" w:cs="Arial"/>
          <w:sz w:val="22"/>
        </w:rPr>
      </w:pPr>
    </w:p>
    <w:p w:rsidR="00E452C4" w:rsidRPr="0020723B" w:rsidRDefault="00E452C4" w:rsidP="00E452C4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E452C4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B14A6"/>
    <w:multiLevelType w:val="hybridMultilevel"/>
    <w:tmpl w:val="C9BE271E"/>
    <w:lvl w:ilvl="0" w:tplc="31DAF8D0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0E007AB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1F40BF0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7104478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560EBB0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7FF07BA6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14DE0F66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3176FDD8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CD6C273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452C4"/>
    <w:rsid w:val="000745AD"/>
    <w:rsid w:val="00682510"/>
    <w:rsid w:val="00A95332"/>
    <w:rsid w:val="00E452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452C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452C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452C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452C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452C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452C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452C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935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2025-08-01T09:32:00Z</dcterms:created>
  <dcterms:modified xsi:type="dcterms:W3CDTF">2025-08-01T09:32:00Z</dcterms:modified>
</cp:coreProperties>
</file>