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62" w:rsidRPr="0020723B" w:rsidRDefault="003B0762" w:rsidP="003B0762">
      <w:pPr>
        <w:pStyle w:val="Tekstpodstawowy"/>
        <w:spacing w:before="207"/>
        <w:rPr>
          <w:rFonts w:ascii="Calibri" w:hAnsi="Calibri" w:cs="Arial"/>
          <w:sz w:val="22"/>
        </w:rPr>
      </w:pPr>
    </w:p>
    <w:p w:rsidR="003B0762" w:rsidRPr="0020723B" w:rsidRDefault="00783A2A" w:rsidP="003B0762">
      <w:pPr>
        <w:pStyle w:val="Heading4"/>
        <w:spacing w:line="194" w:lineRule="auto"/>
        <w:ind w:right="2363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953" o:spid="_x0000_s1026" type="#_x0000_t202" style="position:absolute;left:0;text-align:left;margin-left:85.05pt;margin-top:-9.5pt;width:45.4pt;height:45.4pt;z-index:251660288;mso-position-horizontal-relative:page" fillcolor="#bee3eb" stroked="f">
            <v:textbox inset="0,0,0,0">
              <w:txbxContent>
                <w:p w:rsidR="003B0762" w:rsidRDefault="003B0762" w:rsidP="003B0762">
                  <w:pPr>
                    <w:pStyle w:val="Tekstpodstawowy"/>
                    <w:spacing w:before="16"/>
                    <w:rPr>
                      <w:color w:val="000000"/>
                      <w:sz w:val="24"/>
                    </w:rPr>
                  </w:pPr>
                </w:p>
                <w:p w:rsidR="003B0762" w:rsidRDefault="003B0762" w:rsidP="003B0762">
                  <w:pPr>
                    <w:ind w:left="229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BP</w:t>
                  </w:r>
                  <w:r>
                    <w:rPr>
                      <w:rFonts w:ascii="Arial Black"/>
                      <w:color w:val="072160"/>
                      <w:spacing w:val="-18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w w:val="85"/>
                      <w:sz w:val="24"/>
                    </w:rPr>
                    <w:t>1</w:t>
                  </w:r>
                </w:p>
              </w:txbxContent>
            </v:textbox>
            <w10:wrap anchorx="page"/>
          </v:shape>
        </w:pict>
      </w:r>
      <w:r w:rsidR="003B0762" w:rsidRPr="0020723B">
        <w:rPr>
          <w:rFonts w:ascii="Calibri" w:hAnsi="Calibri" w:cs="Arial"/>
          <w:color w:val="072160"/>
          <w:sz w:val="22"/>
          <w:szCs w:val="20"/>
        </w:rPr>
        <w:t>SZPITAL WDROŻYŁ SYSTEM POPRAWY BEZPIECZEŃSTWA PACJENTA.</w:t>
      </w:r>
    </w:p>
    <w:p w:rsidR="003B0762" w:rsidRPr="0020723B" w:rsidRDefault="003B0762" w:rsidP="003B0762">
      <w:pPr>
        <w:pStyle w:val="Tekstpodstawowy"/>
        <w:spacing w:before="342" w:line="247" w:lineRule="auto"/>
        <w:ind w:left="1842" w:right="130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Zdarzenia niepożądane w lecznictwie szpitalnym dotyczą około 10% hospitalizacji i stanowią jedną z głównych przyczyn zgonów na świecie; wie</w:t>
      </w:r>
      <w:r>
        <w:rPr>
          <w:rFonts w:ascii="Calibri" w:hAnsi="Calibri" w:cs="Arial"/>
          <w:sz w:val="22"/>
        </w:rPr>
        <w:t>lu takim zdarzeniom można zapo</w:t>
      </w:r>
      <w:r w:rsidRPr="0020723B">
        <w:rPr>
          <w:rFonts w:ascii="Calibri" w:hAnsi="Calibri" w:cs="Arial"/>
          <w:sz w:val="22"/>
        </w:rPr>
        <w:t>biegać. Uznaną metodą poprawy bezpieczeństwa pacjenta, a także personelu oraz szpitala, jako organizacji opieki zdrowotnej, jest prowadzenie monitorowania zdarzeń niepożądanych.</w:t>
      </w:r>
    </w:p>
    <w:p w:rsidR="003B0762" w:rsidRPr="0020723B" w:rsidRDefault="003B0762" w:rsidP="003B0762">
      <w:pPr>
        <w:pStyle w:val="Tekstpodstawowy"/>
        <w:spacing w:before="3"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poprzez:</w:t>
      </w:r>
    </w:p>
    <w:p w:rsidR="003B0762" w:rsidRPr="0020723B" w:rsidRDefault="003B0762" w:rsidP="003B0762">
      <w:pPr>
        <w:pStyle w:val="Akapitzlist"/>
        <w:numPr>
          <w:ilvl w:val="0"/>
          <w:numId w:val="3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identyfikowanie zdarzeń niepożądanych,</w:t>
      </w:r>
    </w:p>
    <w:p w:rsidR="003B0762" w:rsidRPr="0020723B" w:rsidRDefault="003B0762" w:rsidP="003B0762">
      <w:pPr>
        <w:pStyle w:val="Akapitzlist"/>
        <w:numPr>
          <w:ilvl w:val="0"/>
          <w:numId w:val="3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ich analizowanie,</w:t>
      </w:r>
    </w:p>
    <w:p w:rsidR="003B0762" w:rsidRPr="0020723B" w:rsidRDefault="003B0762" w:rsidP="003B0762">
      <w:pPr>
        <w:pStyle w:val="Akapitzlist"/>
        <w:numPr>
          <w:ilvl w:val="0"/>
          <w:numId w:val="3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formułowanie wniosków i zaleceń,</w:t>
      </w:r>
    </w:p>
    <w:p w:rsidR="003B0762" w:rsidRPr="0020723B" w:rsidRDefault="003B0762" w:rsidP="003B0762">
      <w:pPr>
        <w:pStyle w:val="Akapitzlist"/>
        <w:numPr>
          <w:ilvl w:val="0"/>
          <w:numId w:val="3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wdrażanie nowych rozwiązań,</w:t>
      </w:r>
    </w:p>
    <w:p w:rsidR="003B0762" w:rsidRPr="0020723B" w:rsidRDefault="003B0762" w:rsidP="003B0762">
      <w:pPr>
        <w:pStyle w:val="Akapitzlist"/>
        <w:numPr>
          <w:ilvl w:val="0"/>
          <w:numId w:val="3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nadzorowanie skuteczności i trwałości ich wdrożenia</w:t>
      </w:r>
    </w:p>
    <w:p w:rsidR="003B0762" w:rsidRPr="0020723B" w:rsidRDefault="003B0762" w:rsidP="003B0762">
      <w:pPr>
        <w:pStyle w:val="Tekstpodstawowy"/>
        <w:spacing w:before="16"/>
        <w:rPr>
          <w:rFonts w:ascii="Calibri" w:hAnsi="Calibri" w:cs="Arial"/>
          <w:sz w:val="22"/>
        </w:rPr>
      </w:pPr>
    </w:p>
    <w:p w:rsidR="003B0762" w:rsidRPr="0020723B" w:rsidRDefault="003B0762" w:rsidP="003B0762">
      <w:pPr>
        <w:pStyle w:val="Tekstpodstawowy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– dąży do zmniejszania ryzyka związanego z hospitalizacją.</w:t>
      </w:r>
    </w:p>
    <w:p w:rsidR="003B0762" w:rsidRPr="0020723B" w:rsidRDefault="003B0762" w:rsidP="003B0762">
      <w:pPr>
        <w:pStyle w:val="Tekstpodstawowy"/>
        <w:spacing w:before="15"/>
        <w:rPr>
          <w:rFonts w:ascii="Calibri" w:hAnsi="Calibri" w:cs="Arial"/>
          <w:sz w:val="22"/>
        </w:rPr>
      </w:pPr>
    </w:p>
    <w:p w:rsidR="003B0762" w:rsidRPr="0020723B" w:rsidRDefault="003B0762" w:rsidP="003B0762">
      <w:pPr>
        <w:pStyle w:val="Tekstpodstawowy"/>
        <w:spacing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Źródło identyfikowanych zdarzeń niepożądanych stanowią:</w:t>
      </w:r>
    </w:p>
    <w:p w:rsidR="003B0762" w:rsidRPr="0020723B" w:rsidRDefault="003B0762" w:rsidP="003B0762">
      <w:pPr>
        <w:pStyle w:val="Akapitzlist"/>
        <w:numPr>
          <w:ilvl w:val="0"/>
          <w:numId w:val="2"/>
        </w:numPr>
        <w:tabs>
          <w:tab w:val="left" w:pos="2180"/>
          <w:tab w:val="left" w:pos="2182"/>
        </w:tabs>
        <w:spacing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zgłoszenia do szpitalnego systemu raportowania zdarzeń niepożądanych, gdzie informacja na temat wystąpienia zdarzenia uzyskiwana jest poprzez zgłoszenia, uzyskiwane od osób, które uczestniczą w zdarzeniu lub je obserwują. Osoba zgłaszająca zdarzenie niepożądane powinna uzyskać informację zwrotną, dotyczącą zmian wprowadzonych w wyniku przeprowadzonej analizy zdarzenia,</w:t>
      </w:r>
    </w:p>
    <w:p w:rsidR="003B0762" w:rsidRPr="0020723B" w:rsidRDefault="003B0762" w:rsidP="003B0762">
      <w:pPr>
        <w:pStyle w:val="Akapitzlist"/>
        <w:numPr>
          <w:ilvl w:val="0"/>
          <w:numId w:val="2"/>
        </w:numPr>
        <w:tabs>
          <w:tab w:val="left" w:pos="2182"/>
        </w:tabs>
        <w:spacing w:line="234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medycznej,</w:t>
      </w:r>
    </w:p>
    <w:p w:rsidR="003B0762" w:rsidRPr="0020723B" w:rsidRDefault="003B0762" w:rsidP="003B0762">
      <w:pPr>
        <w:pStyle w:val="Akapitzlist"/>
        <w:numPr>
          <w:ilvl w:val="0"/>
          <w:numId w:val="2"/>
        </w:numPr>
        <w:tabs>
          <w:tab w:val="left" w:pos="2182"/>
        </w:tabs>
        <w:spacing w:line="247" w:lineRule="auto"/>
        <w:ind w:right="139" w:hanging="34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analizowanie poszczególnych kategorii działalności klinicznej</w:t>
      </w:r>
      <w:r w:rsidR="00DA7986">
        <w:rPr>
          <w:rFonts w:ascii="Calibri" w:hAnsi="Calibri" w:cs="Arial"/>
          <w:szCs w:val="20"/>
        </w:rPr>
        <w:t>, takich jak np. reoperacje, po</w:t>
      </w:r>
      <w:r w:rsidRPr="0020723B">
        <w:rPr>
          <w:rFonts w:ascii="Calibri" w:hAnsi="Calibri" w:cs="Arial"/>
          <w:szCs w:val="20"/>
        </w:rPr>
        <w:t>wtórne hospitalizacje, przedłużone pobyty,</w:t>
      </w:r>
    </w:p>
    <w:p w:rsidR="003B0762" w:rsidRPr="0020723B" w:rsidRDefault="003B0762" w:rsidP="003B0762">
      <w:pPr>
        <w:pStyle w:val="Akapitzlist"/>
        <w:numPr>
          <w:ilvl w:val="0"/>
          <w:numId w:val="2"/>
        </w:numPr>
        <w:tabs>
          <w:tab w:val="left" w:pos="2182"/>
        </w:tabs>
        <w:spacing w:line="247" w:lineRule="auto"/>
        <w:ind w:right="142" w:hanging="34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dane i informacje zawarte w szpitalnym systemie skarg i wniosków; sprawach rozpatrywanych przez Rzecznika Praw Pacjenta, sprawach sądowych.</w:t>
      </w:r>
    </w:p>
    <w:p w:rsidR="003B0762" w:rsidRPr="0020723B" w:rsidRDefault="003B0762" w:rsidP="003B0762">
      <w:pPr>
        <w:pStyle w:val="Tekstpodstawowy"/>
        <w:spacing w:before="226"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Zdarzenia niepożądane podlegające identyfikacji obejmują:</w:t>
      </w:r>
    </w:p>
    <w:p w:rsidR="003B0762" w:rsidRPr="0020723B" w:rsidRDefault="003B0762" w:rsidP="003B0762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zdarzenia niepożądane, które </w:t>
      </w:r>
      <w:proofErr w:type="spellStart"/>
      <w:r w:rsidRPr="0020723B">
        <w:rPr>
          <w:rFonts w:ascii="Calibri" w:hAnsi="Calibri" w:cs="Arial"/>
          <w:szCs w:val="20"/>
        </w:rPr>
        <w:t>dosięgnęły</w:t>
      </w:r>
      <w:proofErr w:type="spellEnd"/>
      <w:r w:rsidRPr="0020723B">
        <w:rPr>
          <w:rFonts w:ascii="Calibri" w:hAnsi="Calibri" w:cs="Arial"/>
          <w:szCs w:val="20"/>
        </w:rPr>
        <w:t xml:space="preserve"> pacjenta i wywołały szkodę;</w:t>
      </w:r>
    </w:p>
    <w:p w:rsidR="003B0762" w:rsidRPr="0020723B" w:rsidRDefault="003B0762" w:rsidP="003B0762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zdarzenia niepożądane, które </w:t>
      </w:r>
      <w:proofErr w:type="spellStart"/>
      <w:r w:rsidRPr="0020723B">
        <w:rPr>
          <w:rFonts w:ascii="Calibri" w:hAnsi="Calibri" w:cs="Arial"/>
          <w:szCs w:val="20"/>
        </w:rPr>
        <w:t>dosięgnęły</w:t>
      </w:r>
      <w:proofErr w:type="spellEnd"/>
      <w:r w:rsidRPr="0020723B">
        <w:rPr>
          <w:rFonts w:ascii="Calibri" w:hAnsi="Calibri" w:cs="Arial"/>
          <w:szCs w:val="20"/>
        </w:rPr>
        <w:t xml:space="preserve"> pacjenta i nie wywołały szkody;</w:t>
      </w:r>
    </w:p>
    <w:p w:rsidR="003B0762" w:rsidRPr="0020723B" w:rsidRDefault="003B0762" w:rsidP="003B0762">
      <w:pPr>
        <w:pStyle w:val="Akapitzlist"/>
        <w:numPr>
          <w:ilvl w:val="0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zdarzenia niepożądane niedoszłe, czyli zdarzenia, które nie </w:t>
      </w:r>
      <w:proofErr w:type="spellStart"/>
      <w:r w:rsidRPr="0020723B">
        <w:rPr>
          <w:rFonts w:ascii="Calibri" w:hAnsi="Calibri" w:cs="Arial"/>
          <w:szCs w:val="20"/>
        </w:rPr>
        <w:t>dosięgnęły</w:t>
      </w:r>
      <w:proofErr w:type="spellEnd"/>
      <w:r w:rsidRPr="0020723B">
        <w:rPr>
          <w:rFonts w:ascii="Calibri" w:hAnsi="Calibri" w:cs="Arial"/>
          <w:szCs w:val="20"/>
        </w:rPr>
        <w:t xml:space="preserve"> pacjenta.</w:t>
      </w:r>
    </w:p>
    <w:p w:rsidR="003B0762" w:rsidRPr="0020723B" w:rsidRDefault="003B0762" w:rsidP="003B0762">
      <w:pPr>
        <w:pStyle w:val="Tekstpodstawowy"/>
        <w:spacing w:before="16"/>
        <w:rPr>
          <w:rFonts w:ascii="Calibri" w:hAnsi="Calibri" w:cs="Arial"/>
          <w:sz w:val="22"/>
        </w:rPr>
      </w:pPr>
    </w:p>
    <w:p w:rsidR="003B0762" w:rsidRPr="0020723B" w:rsidRDefault="003B0762" w:rsidP="003B0762">
      <w:pPr>
        <w:pStyle w:val="Tekstpodstawowy"/>
        <w:spacing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Szpital analizuje poważne zdarzenia niepożądane według modelu analizy przyczyn źródłowych RCA (ang. </w:t>
      </w:r>
      <w:proofErr w:type="spellStart"/>
      <w:r w:rsidRPr="0020723B">
        <w:rPr>
          <w:rFonts w:ascii="Calibri" w:hAnsi="Calibri" w:cs="Arial"/>
          <w:sz w:val="22"/>
        </w:rPr>
        <w:t>root</w:t>
      </w:r>
      <w:proofErr w:type="spellEnd"/>
      <w:r w:rsidRPr="0020723B">
        <w:rPr>
          <w:rFonts w:ascii="Calibri" w:hAnsi="Calibri" w:cs="Arial"/>
          <w:sz w:val="22"/>
        </w:rPr>
        <w:t xml:space="preserve"> </w:t>
      </w:r>
      <w:proofErr w:type="spellStart"/>
      <w:r w:rsidRPr="0020723B">
        <w:rPr>
          <w:rFonts w:ascii="Calibri" w:hAnsi="Calibri" w:cs="Arial"/>
          <w:sz w:val="22"/>
        </w:rPr>
        <w:t>cause</w:t>
      </w:r>
      <w:proofErr w:type="spellEnd"/>
      <w:r w:rsidRPr="0020723B">
        <w:rPr>
          <w:rFonts w:ascii="Calibri" w:hAnsi="Calibri" w:cs="Arial"/>
          <w:sz w:val="22"/>
        </w:rPr>
        <w:t xml:space="preserve"> </w:t>
      </w:r>
      <w:proofErr w:type="spellStart"/>
      <w:r w:rsidRPr="0020723B">
        <w:rPr>
          <w:rFonts w:ascii="Calibri" w:hAnsi="Calibri" w:cs="Arial"/>
          <w:sz w:val="22"/>
        </w:rPr>
        <w:t>analysis</w:t>
      </w:r>
      <w:proofErr w:type="spellEnd"/>
      <w:r w:rsidRPr="0020723B">
        <w:rPr>
          <w:rFonts w:ascii="Calibri" w:hAnsi="Calibri" w:cs="Arial"/>
          <w:sz w:val="22"/>
        </w:rPr>
        <w:t xml:space="preserve">), zwanego też analizą przyczynowo-skutkową i z wykorzystaniem oceny ciężkości i częstości zdarzenia według matrycy SAC (ang. </w:t>
      </w:r>
      <w:proofErr w:type="spellStart"/>
      <w:r w:rsidRPr="0020723B">
        <w:rPr>
          <w:rFonts w:ascii="Calibri" w:hAnsi="Calibri" w:cs="Arial"/>
          <w:sz w:val="22"/>
        </w:rPr>
        <w:t>Safety</w:t>
      </w:r>
      <w:proofErr w:type="spellEnd"/>
      <w:r w:rsidRPr="0020723B">
        <w:rPr>
          <w:rFonts w:ascii="Calibri" w:hAnsi="Calibri" w:cs="Arial"/>
          <w:sz w:val="22"/>
        </w:rPr>
        <w:t xml:space="preserve"> </w:t>
      </w:r>
      <w:proofErr w:type="spellStart"/>
      <w:r w:rsidRPr="0020723B">
        <w:rPr>
          <w:rFonts w:ascii="Calibri" w:hAnsi="Calibri" w:cs="Arial"/>
          <w:sz w:val="22"/>
        </w:rPr>
        <w:t>Assessment</w:t>
      </w:r>
      <w:proofErr w:type="spellEnd"/>
      <w:r w:rsidRPr="0020723B">
        <w:rPr>
          <w:rFonts w:ascii="Calibri" w:hAnsi="Calibri" w:cs="Arial"/>
          <w:sz w:val="22"/>
        </w:rPr>
        <w:t xml:space="preserve"> </w:t>
      </w:r>
      <w:proofErr w:type="spellStart"/>
      <w:r w:rsidRPr="0020723B">
        <w:rPr>
          <w:rFonts w:ascii="Calibri" w:hAnsi="Calibri" w:cs="Arial"/>
          <w:sz w:val="22"/>
        </w:rPr>
        <w:t>Code</w:t>
      </w:r>
      <w:proofErr w:type="spellEnd"/>
      <w:r w:rsidRPr="0020723B">
        <w:rPr>
          <w:rFonts w:ascii="Calibri" w:hAnsi="Calibri" w:cs="Arial"/>
          <w:sz w:val="22"/>
        </w:rPr>
        <w:t>).</w:t>
      </w:r>
    </w:p>
    <w:p w:rsidR="003B0762" w:rsidRPr="0020723B" w:rsidRDefault="003B0762" w:rsidP="003B0762">
      <w:pPr>
        <w:pStyle w:val="Tekstpodstawowy"/>
        <w:spacing w:before="2" w:line="247" w:lineRule="auto"/>
        <w:ind w:left="1842" w:right="13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Najważniejszym elementem systemu poprawy bezpieczeństwa pacjenta jest wdrażanie wniosków, wynikających z analizy RCA i wprowadzanie usprawnień w funkcjonowaniu, zapobiegających ponownemu wystąpieniu podobnych zdarzeń.</w:t>
      </w:r>
    </w:p>
    <w:p w:rsidR="00427D73" w:rsidRDefault="00DA7986"/>
    <w:sectPr w:rsidR="00427D73" w:rsidSect="00A953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altName w:val="Tahoma"/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Arial">
    <w:altName w:val="Arial"/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BC32DB"/>
    <w:multiLevelType w:val="hybridMultilevel"/>
    <w:tmpl w:val="6BDC53CE"/>
    <w:lvl w:ilvl="0" w:tplc="6B201CDA">
      <w:start w:val="1"/>
      <w:numFmt w:val="decimal"/>
      <w:lvlText w:val="%1)"/>
      <w:lvlJc w:val="left"/>
      <w:pPr>
        <w:ind w:left="2182" w:hanging="345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3D22B30A">
      <w:numFmt w:val="bullet"/>
      <w:lvlText w:val="•"/>
      <w:lvlJc w:val="left"/>
      <w:pPr>
        <w:ind w:left="2954" w:hanging="345"/>
      </w:pPr>
      <w:rPr>
        <w:rFonts w:hint="default"/>
        <w:lang w:val="pl-PL" w:eastAsia="en-US" w:bidi="ar-SA"/>
      </w:rPr>
    </w:lvl>
    <w:lvl w:ilvl="2" w:tplc="1346D40C">
      <w:numFmt w:val="bullet"/>
      <w:lvlText w:val="•"/>
      <w:lvlJc w:val="left"/>
      <w:pPr>
        <w:ind w:left="3728" w:hanging="345"/>
      </w:pPr>
      <w:rPr>
        <w:rFonts w:hint="default"/>
        <w:lang w:val="pl-PL" w:eastAsia="en-US" w:bidi="ar-SA"/>
      </w:rPr>
    </w:lvl>
    <w:lvl w:ilvl="3" w:tplc="6D8E3E48">
      <w:numFmt w:val="bullet"/>
      <w:lvlText w:val="•"/>
      <w:lvlJc w:val="left"/>
      <w:pPr>
        <w:ind w:left="4502" w:hanging="345"/>
      </w:pPr>
      <w:rPr>
        <w:rFonts w:hint="default"/>
        <w:lang w:val="pl-PL" w:eastAsia="en-US" w:bidi="ar-SA"/>
      </w:rPr>
    </w:lvl>
    <w:lvl w:ilvl="4" w:tplc="DBA26030">
      <w:numFmt w:val="bullet"/>
      <w:lvlText w:val="•"/>
      <w:lvlJc w:val="left"/>
      <w:pPr>
        <w:ind w:left="5276" w:hanging="345"/>
      </w:pPr>
      <w:rPr>
        <w:rFonts w:hint="default"/>
        <w:lang w:val="pl-PL" w:eastAsia="en-US" w:bidi="ar-SA"/>
      </w:rPr>
    </w:lvl>
    <w:lvl w:ilvl="5" w:tplc="677686B4">
      <w:numFmt w:val="bullet"/>
      <w:lvlText w:val="•"/>
      <w:lvlJc w:val="left"/>
      <w:pPr>
        <w:ind w:left="6050" w:hanging="345"/>
      </w:pPr>
      <w:rPr>
        <w:rFonts w:hint="default"/>
        <w:lang w:val="pl-PL" w:eastAsia="en-US" w:bidi="ar-SA"/>
      </w:rPr>
    </w:lvl>
    <w:lvl w:ilvl="6" w:tplc="2780A2C2">
      <w:numFmt w:val="bullet"/>
      <w:lvlText w:val="•"/>
      <w:lvlJc w:val="left"/>
      <w:pPr>
        <w:ind w:left="6824" w:hanging="345"/>
      </w:pPr>
      <w:rPr>
        <w:rFonts w:hint="default"/>
        <w:lang w:val="pl-PL" w:eastAsia="en-US" w:bidi="ar-SA"/>
      </w:rPr>
    </w:lvl>
    <w:lvl w:ilvl="7" w:tplc="9BA6BB9C">
      <w:numFmt w:val="bullet"/>
      <w:lvlText w:val="•"/>
      <w:lvlJc w:val="left"/>
      <w:pPr>
        <w:ind w:left="7599" w:hanging="345"/>
      </w:pPr>
      <w:rPr>
        <w:rFonts w:hint="default"/>
        <w:lang w:val="pl-PL" w:eastAsia="en-US" w:bidi="ar-SA"/>
      </w:rPr>
    </w:lvl>
    <w:lvl w:ilvl="8" w:tplc="F306E1B0">
      <w:numFmt w:val="bullet"/>
      <w:lvlText w:val="•"/>
      <w:lvlJc w:val="left"/>
      <w:pPr>
        <w:ind w:left="8373" w:hanging="345"/>
      </w:pPr>
      <w:rPr>
        <w:rFonts w:hint="default"/>
        <w:lang w:val="pl-PL" w:eastAsia="en-US" w:bidi="ar-SA"/>
      </w:rPr>
    </w:lvl>
  </w:abstractNum>
  <w:abstractNum w:abstractNumId="1">
    <w:nsid w:val="3A4E79B7"/>
    <w:multiLevelType w:val="hybridMultilevel"/>
    <w:tmpl w:val="7C62341C"/>
    <w:lvl w:ilvl="0" w:tplc="A1BA043C">
      <w:start w:val="1"/>
      <w:numFmt w:val="decimal"/>
      <w:lvlText w:val="%1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CDFA8114">
      <w:numFmt w:val="bullet"/>
      <w:lvlText w:val="•"/>
      <w:lvlJc w:val="left"/>
      <w:pPr>
        <w:ind w:left="2954" w:hanging="344"/>
      </w:pPr>
      <w:rPr>
        <w:rFonts w:hint="default"/>
        <w:lang w:val="pl-PL" w:eastAsia="en-US" w:bidi="ar-SA"/>
      </w:rPr>
    </w:lvl>
    <w:lvl w:ilvl="2" w:tplc="6D5A97F0">
      <w:numFmt w:val="bullet"/>
      <w:lvlText w:val="•"/>
      <w:lvlJc w:val="left"/>
      <w:pPr>
        <w:ind w:left="3728" w:hanging="344"/>
      </w:pPr>
      <w:rPr>
        <w:rFonts w:hint="default"/>
        <w:lang w:val="pl-PL" w:eastAsia="en-US" w:bidi="ar-SA"/>
      </w:rPr>
    </w:lvl>
    <w:lvl w:ilvl="3" w:tplc="782EE63E">
      <w:numFmt w:val="bullet"/>
      <w:lvlText w:val="•"/>
      <w:lvlJc w:val="left"/>
      <w:pPr>
        <w:ind w:left="4502" w:hanging="344"/>
      </w:pPr>
      <w:rPr>
        <w:rFonts w:hint="default"/>
        <w:lang w:val="pl-PL" w:eastAsia="en-US" w:bidi="ar-SA"/>
      </w:rPr>
    </w:lvl>
    <w:lvl w:ilvl="4" w:tplc="5B6A5084">
      <w:numFmt w:val="bullet"/>
      <w:lvlText w:val="•"/>
      <w:lvlJc w:val="left"/>
      <w:pPr>
        <w:ind w:left="5276" w:hanging="344"/>
      </w:pPr>
      <w:rPr>
        <w:rFonts w:hint="default"/>
        <w:lang w:val="pl-PL" w:eastAsia="en-US" w:bidi="ar-SA"/>
      </w:rPr>
    </w:lvl>
    <w:lvl w:ilvl="5" w:tplc="51F0FC0A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6" w:tplc="AA7E1B4E">
      <w:numFmt w:val="bullet"/>
      <w:lvlText w:val="•"/>
      <w:lvlJc w:val="left"/>
      <w:pPr>
        <w:ind w:left="6824" w:hanging="344"/>
      </w:pPr>
      <w:rPr>
        <w:rFonts w:hint="default"/>
        <w:lang w:val="pl-PL" w:eastAsia="en-US" w:bidi="ar-SA"/>
      </w:rPr>
    </w:lvl>
    <w:lvl w:ilvl="7" w:tplc="C08AFCA0">
      <w:numFmt w:val="bullet"/>
      <w:lvlText w:val="•"/>
      <w:lvlJc w:val="left"/>
      <w:pPr>
        <w:ind w:left="7599" w:hanging="344"/>
      </w:pPr>
      <w:rPr>
        <w:rFonts w:hint="default"/>
        <w:lang w:val="pl-PL" w:eastAsia="en-US" w:bidi="ar-SA"/>
      </w:rPr>
    </w:lvl>
    <w:lvl w:ilvl="8" w:tplc="37BEDDC4">
      <w:numFmt w:val="bullet"/>
      <w:lvlText w:val="•"/>
      <w:lvlJc w:val="left"/>
      <w:pPr>
        <w:ind w:left="8373" w:hanging="344"/>
      </w:pPr>
      <w:rPr>
        <w:rFonts w:hint="default"/>
        <w:lang w:val="pl-PL" w:eastAsia="en-US" w:bidi="ar-SA"/>
      </w:rPr>
    </w:lvl>
  </w:abstractNum>
  <w:abstractNum w:abstractNumId="2">
    <w:nsid w:val="6AC12D8D"/>
    <w:multiLevelType w:val="hybridMultilevel"/>
    <w:tmpl w:val="6C14BD7C"/>
    <w:lvl w:ilvl="0" w:tplc="DDC433CE">
      <w:start w:val="1"/>
      <w:numFmt w:val="decimal"/>
      <w:lvlText w:val="%1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DBE68048">
      <w:numFmt w:val="bullet"/>
      <w:lvlText w:val="•"/>
      <w:lvlJc w:val="left"/>
      <w:pPr>
        <w:ind w:left="2954" w:hanging="344"/>
      </w:pPr>
      <w:rPr>
        <w:rFonts w:hint="default"/>
        <w:lang w:val="pl-PL" w:eastAsia="en-US" w:bidi="ar-SA"/>
      </w:rPr>
    </w:lvl>
    <w:lvl w:ilvl="2" w:tplc="C2D6107E">
      <w:numFmt w:val="bullet"/>
      <w:lvlText w:val="•"/>
      <w:lvlJc w:val="left"/>
      <w:pPr>
        <w:ind w:left="3728" w:hanging="344"/>
      </w:pPr>
      <w:rPr>
        <w:rFonts w:hint="default"/>
        <w:lang w:val="pl-PL" w:eastAsia="en-US" w:bidi="ar-SA"/>
      </w:rPr>
    </w:lvl>
    <w:lvl w:ilvl="3" w:tplc="2DCC734C">
      <w:numFmt w:val="bullet"/>
      <w:lvlText w:val="•"/>
      <w:lvlJc w:val="left"/>
      <w:pPr>
        <w:ind w:left="4502" w:hanging="344"/>
      </w:pPr>
      <w:rPr>
        <w:rFonts w:hint="default"/>
        <w:lang w:val="pl-PL" w:eastAsia="en-US" w:bidi="ar-SA"/>
      </w:rPr>
    </w:lvl>
    <w:lvl w:ilvl="4" w:tplc="A28A2F54">
      <w:numFmt w:val="bullet"/>
      <w:lvlText w:val="•"/>
      <w:lvlJc w:val="left"/>
      <w:pPr>
        <w:ind w:left="5276" w:hanging="344"/>
      </w:pPr>
      <w:rPr>
        <w:rFonts w:hint="default"/>
        <w:lang w:val="pl-PL" w:eastAsia="en-US" w:bidi="ar-SA"/>
      </w:rPr>
    </w:lvl>
    <w:lvl w:ilvl="5" w:tplc="F918C2E4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6" w:tplc="50949C54">
      <w:numFmt w:val="bullet"/>
      <w:lvlText w:val="•"/>
      <w:lvlJc w:val="left"/>
      <w:pPr>
        <w:ind w:left="6824" w:hanging="344"/>
      </w:pPr>
      <w:rPr>
        <w:rFonts w:hint="default"/>
        <w:lang w:val="pl-PL" w:eastAsia="en-US" w:bidi="ar-SA"/>
      </w:rPr>
    </w:lvl>
    <w:lvl w:ilvl="7" w:tplc="C0A8A496">
      <w:numFmt w:val="bullet"/>
      <w:lvlText w:val="•"/>
      <w:lvlJc w:val="left"/>
      <w:pPr>
        <w:ind w:left="7599" w:hanging="344"/>
      </w:pPr>
      <w:rPr>
        <w:rFonts w:hint="default"/>
        <w:lang w:val="pl-PL" w:eastAsia="en-US" w:bidi="ar-SA"/>
      </w:rPr>
    </w:lvl>
    <w:lvl w:ilvl="8" w:tplc="94FADF2A">
      <w:numFmt w:val="bullet"/>
      <w:lvlText w:val="•"/>
      <w:lvlJc w:val="left"/>
      <w:pPr>
        <w:ind w:left="8373" w:hanging="344"/>
      </w:pPr>
      <w:rPr>
        <w:rFonts w:hint="default"/>
        <w:lang w:val="pl-PL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3B0762"/>
    <w:rsid w:val="000745AD"/>
    <w:rsid w:val="003B0762"/>
    <w:rsid w:val="00682510"/>
    <w:rsid w:val="00783A2A"/>
    <w:rsid w:val="00A95332"/>
    <w:rsid w:val="00DA79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3B0762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3B0762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3B0762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3B0762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styleId="Akapitzlist">
    <w:name w:val="List Paragraph"/>
    <w:basedOn w:val="Normalny"/>
    <w:uiPriority w:val="1"/>
    <w:qFormat/>
    <w:rsid w:val="003B0762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308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2025-08-01T09:41:00Z</dcterms:created>
  <dcterms:modified xsi:type="dcterms:W3CDTF">2025-08-01T09:51:00Z</dcterms:modified>
</cp:coreProperties>
</file>