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C2EE3" w:rsidRPr="0020723B" w:rsidRDefault="00BC2EE3" w:rsidP="00BC2EE3">
      <w:pPr>
        <w:pStyle w:val="Tekstpodstawowy"/>
        <w:spacing w:before="222"/>
        <w:rPr>
          <w:rFonts w:ascii="Calibri" w:hAnsi="Calibri" w:cs="Arial"/>
          <w:sz w:val="22"/>
        </w:rPr>
      </w:pPr>
    </w:p>
    <w:p w:rsidR="00BC2EE3" w:rsidRPr="0020723B" w:rsidRDefault="00BC2EE3" w:rsidP="00BC2EE3">
      <w:pPr>
        <w:pStyle w:val="Heading4"/>
        <w:rPr>
          <w:rFonts w:ascii="Calibri" w:hAnsi="Calibri" w:cs="Arial"/>
          <w:sz w:val="22"/>
          <w:szCs w:val="20"/>
        </w:rPr>
      </w:pPr>
      <w:r>
        <w:rPr>
          <w:rFonts w:ascii="Calibri" w:hAnsi="Calibri" w:cs="Arial"/>
          <w:sz w:val="22"/>
          <w:szCs w:val="20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967" o:spid="_x0000_s1026" type="#_x0000_t202" style="position:absolute;left:0;text-align:left;margin-left:85.05pt;margin-top:-14.6pt;width:45.4pt;height:45.4pt;z-index:251660288;mso-position-horizontal-relative:page" fillcolor="#bee3eb" stroked="f">
            <v:textbox inset="0,0,0,0">
              <w:txbxContent>
                <w:p w:rsidR="00BC2EE3" w:rsidRDefault="00BC2EE3" w:rsidP="00BC2EE3">
                  <w:pPr>
                    <w:pStyle w:val="Tekstpodstawowy"/>
                    <w:spacing w:before="16"/>
                    <w:rPr>
                      <w:color w:val="000000"/>
                      <w:sz w:val="24"/>
                    </w:rPr>
                  </w:pPr>
                </w:p>
                <w:p w:rsidR="00BC2EE3" w:rsidRDefault="00BC2EE3" w:rsidP="00BC2EE3">
                  <w:pPr>
                    <w:ind w:left="205"/>
                    <w:rPr>
                      <w:rFonts w:ascii="Arial Black"/>
                      <w:color w:val="000000"/>
                      <w:sz w:val="24"/>
                    </w:rPr>
                  </w:pPr>
                  <w:r>
                    <w:rPr>
                      <w:rFonts w:ascii="Arial Black"/>
                      <w:color w:val="072160"/>
                      <w:w w:val="85"/>
                      <w:sz w:val="24"/>
                    </w:rPr>
                    <w:t>BP</w:t>
                  </w:r>
                  <w:r>
                    <w:rPr>
                      <w:rFonts w:ascii="Arial Black"/>
                      <w:color w:val="072160"/>
                      <w:spacing w:val="-18"/>
                      <w:w w:val="85"/>
                      <w:sz w:val="24"/>
                    </w:rPr>
                    <w:t xml:space="preserve"> </w:t>
                  </w:r>
                  <w:r>
                    <w:rPr>
                      <w:rFonts w:ascii="Arial Black"/>
                      <w:color w:val="072160"/>
                      <w:spacing w:val="-10"/>
                      <w:w w:val="95"/>
                      <w:sz w:val="24"/>
                    </w:rPr>
                    <w:t>2</w:t>
                  </w:r>
                </w:p>
              </w:txbxContent>
            </v:textbox>
            <w10:wrap anchorx="page"/>
          </v:shape>
        </w:pict>
      </w:r>
      <w:r w:rsidRPr="0020723B">
        <w:rPr>
          <w:rFonts w:ascii="Calibri" w:hAnsi="Calibri" w:cs="Arial"/>
          <w:color w:val="072160"/>
          <w:sz w:val="22"/>
          <w:szCs w:val="20"/>
        </w:rPr>
        <w:t>SZPITAL MINIMALIZUJE RYZYKO POMYLENIA PACJENTA.</w:t>
      </w:r>
    </w:p>
    <w:p w:rsidR="00BC2EE3" w:rsidRPr="0020723B" w:rsidRDefault="00BC2EE3" w:rsidP="00BC2EE3">
      <w:pPr>
        <w:pStyle w:val="Tekstpodstawowy"/>
        <w:spacing w:before="167"/>
        <w:rPr>
          <w:rFonts w:ascii="Calibri" w:hAnsi="Calibri" w:cs="Arial"/>
          <w:sz w:val="22"/>
        </w:rPr>
      </w:pPr>
    </w:p>
    <w:p w:rsidR="00BC2EE3" w:rsidRPr="0020723B" w:rsidRDefault="00BC2EE3" w:rsidP="00BC2EE3">
      <w:pPr>
        <w:pStyle w:val="Heading6"/>
        <w:numPr>
          <w:ilvl w:val="0"/>
          <w:numId w:val="2"/>
        </w:numPr>
        <w:tabs>
          <w:tab w:val="left" w:pos="1842"/>
        </w:tabs>
        <w:ind w:hanging="328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Opis wymagań</w:t>
      </w:r>
    </w:p>
    <w:p w:rsidR="00BC2EE3" w:rsidRPr="0020723B" w:rsidRDefault="00BC2EE3" w:rsidP="00BC2EE3">
      <w:pPr>
        <w:pStyle w:val="Tekstpodstawowy"/>
        <w:spacing w:before="218" w:line="247" w:lineRule="auto"/>
        <w:ind w:left="1842" w:right="134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Ryzyko pomylenia pacjenta dotyczy wszystkich aspektów diagnostyki i leczenia. Pacjenci mogą znajdować się pod wpływem sedacji, być zdezorientowani, nie w p</w:t>
      </w:r>
      <w:r>
        <w:rPr>
          <w:rFonts w:ascii="Calibri" w:hAnsi="Calibri" w:cs="Arial"/>
          <w:sz w:val="22"/>
        </w:rPr>
        <w:t>ełni świadomi, w stanie śpiącz</w:t>
      </w:r>
      <w:r w:rsidRPr="0020723B">
        <w:rPr>
          <w:rFonts w:ascii="Calibri" w:hAnsi="Calibri" w:cs="Arial"/>
          <w:sz w:val="22"/>
        </w:rPr>
        <w:t>ki, mogą zmieniać sale chorych i być przekazywani na inne oddziały. Mogą nie pamiętać swojej tożsamości lub znajdować się w sytuacjach, które sprzyjają błędnej identyfikacji, np. posiadanie tego samego lub zbliżonego imienia i nazwiska lub tej samej daty urodzenia. Dlatego też szpital minimalizuje ryzyko pomylenia pacjenta poprzez wprowadzenie jednoznacznej identyfikacji, prowadzonej z wykorzystaniem przynajmniej dwóch różnych identyfikatorów, takich jak np.: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2181"/>
        </w:tabs>
        <w:spacing w:line="236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imię i nazwisko;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data urodzenia;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2181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numer historii choroby;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2182"/>
        </w:tabs>
        <w:spacing w:line="247" w:lineRule="auto"/>
        <w:ind w:right="141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kod kreskowy na identyfikatorze nadgarstkowym, gdy w oddziale jest dostateczna liczba czytników, które przyłóżkowo skutecznie odczytują dane pacjenta na identyfikatorze;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2182"/>
        </w:tabs>
        <w:spacing w:line="234" w:lineRule="exact"/>
        <w:ind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nazwa oddziału.</w:t>
      </w:r>
    </w:p>
    <w:p w:rsidR="00BC2EE3" w:rsidRPr="0020723B" w:rsidRDefault="00BC2EE3" w:rsidP="00BC2EE3">
      <w:pPr>
        <w:pStyle w:val="Tekstpodstawowy"/>
        <w:spacing w:before="13"/>
        <w:rPr>
          <w:rFonts w:ascii="Calibri" w:hAnsi="Calibri" w:cs="Arial"/>
          <w:sz w:val="22"/>
        </w:rPr>
      </w:pPr>
    </w:p>
    <w:p w:rsidR="00BC2EE3" w:rsidRPr="0020723B" w:rsidRDefault="00BC2EE3" w:rsidP="00BC2EE3">
      <w:pPr>
        <w:pStyle w:val="Tekstpodstawowy"/>
        <w:spacing w:before="1" w:line="247" w:lineRule="auto"/>
        <w:ind w:left="1842" w:right="1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Proces identyfikowania pacjentów za pomocą dwóch różnych identyfikatorów powinien być ujednolicony w całym szpitalu.</w:t>
      </w:r>
    </w:p>
    <w:p w:rsidR="00BC2EE3" w:rsidRPr="0020723B" w:rsidRDefault="00BC2EE3" w:rsidP="00BC2EE3">
      <w:pPr>
        <w:pStyle w:val="Tekstpodstawowy"/>
        <w:spacing w:before="91" w:line="247" w:lineRule="auto"/>
        <w:ind w:left="1842" w:right="706"/>
        <w:rPr>
          <w:rFonts w:ascii="Calibri" w:hAnsi="Calibri" w:cs="Arial"/>
          <w:sz w:val="22"/>
        </w:rPr>
      </w:pPr>
      <w:r>
        <w:rPr>
          <w:rFonts w:ascii="Calibri" w:hAnsi="Calibri" w:cs="Arial"/>
          <w:sz w:val="22"/>
        </w:rPr>
        <w:pict>
          <v:rect id="docshape1968" o:spid="_x0000_s1027" style="position:absolute;left:0;text-align:left;margin-left:0;margin-top:618.25pt;width:28.35pt;height:47.95pt;z-index:251661312;mso-position-horizontal-relative:page;mso-position-vertical-relative:page" fillcolor="#072160" stroked="f">
            <w10:wrap anchorx="page" anchory="page"/>
          </v:rect>
        </w:pict>
      </w:r>
      <w:r w:rsidRPr="0020723B">
        <w:rPr>
          <w:rFonts w:ascii="Calibri" w:hAnsi="Calibri" w:cs="Arial"/>
          <w:sz w:val="22"/>
        </w:rPr>
        <w:t>Należy też określić przyjętą metodę poprawnego identyfikowania pacjentów w sytuac</w:t>
      </w:r>
      <w:r>
        <w:rPr>
          <w:rFonts w:ascii="Calibri" w:hAnsi="Calibri" w:cs="Arial"/>
          <w:sz w:val="22"/>
        </w:rPr>
        <w:t>jach szczegól</w:t>
      </w:r>
      <w:r w:rsidRPr="0020723B">
        <w:rPr>
          <w:rFonts w:ascii="Calibri" w:hAnsi="Calibri" w:cs="Arial"/>
          <w:sz w:val="22"/>
        </w:rPr>
        <w:t>nych, np. gdy pacjent o nieustalonej tożsamości jest przyjmowany do szpitala jako nieprzytomny lub w stanie śpiączki.</w:t>
      </w:r>
    </w:p>
    <w:p w:rsidR="00BC2EE3" w:rsidRPr="0020723B" w:rsidRDefault="00BC2EE3" w:rsidP="00BC2EE3">
      <w:pPr>
        <w:pStyle w:val="Tekstpodstawowy"/>
        <w:spacing w:before="3" w:line="247" w:lineRule="auto"/>
        <w:ind w:left="1842" w:right="70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Dla poprawy bezpieczeństwa w trakcie hospitalizacji, pacjenci zwiększonego ryzyka, dotyczącego np. upadków, odleżyn, niedożywienia:</w:t>
      </w:r>
    </w:p>
    <w:p w:rsidR="00BC2EE3" w:rsidRPr="0020723B" w:rsidRDefault="00BC2EE3" w:rsidP="00BC2EE3">
      <w:pPr>
        <w:pStyle w:val="Akapitzlist"/>
        <w:numPr>
          <w:ilvl w:val="0"/>
          <w:numId w:val="1"/>
        </w:numPr>
        <w:tabs>
          <w:tab w:val="left" w:pos="1614"/>
        </w:tabs>
        <w:spacing w:line="23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są identyfikowani opaskami zakładanymi na nadgarstku;</w:t>
      </w:r>
    </w:p>
    <w:p w:rsidR="00BC2EE3" w:rsidRPr="0020723B" w:rsidRDefault="00BC2EE3" w:rsidP="00BC2EE3">
      <w:pPr>
        <w:pStyle w:val="Akapitzlist"/>
        <w:numPr>
          <w:ilvl w:val="0"/>
          <w:numId w:val="1"/>
        </w:numPr>
        <w:tabs>
          <w:tab w:val="left" w:pos="1614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opisanymi i w kolorze zgodnym z przyjętym w szpitalu kodem oznaczeń.</w:t>
      </w:r>
    </w:p>
    <w:p w:rsidR="00BC2EE3" w:rsidRPr="0020723B" w:rsidRDefault="00BC2EE3" w:rsidP="00BC2EE3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841" w:hanging="374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Sposób sprawdzenia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4"/>
        </w:tabs>
        <w:spacing w:before="206"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przegląd dokumentacji szpitala;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4"/>
        </w:tabs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wywiad z personelem;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4"/>
        </w:tabs>
        <w:spacing w:line="242" w:lineRule="exact"/>
        <w:ind w:left="2181" w:hanging="34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obserwacja bezpośrednia.</w:t>
      </w:r>
    </w:p>
    <w:p w:rsidR="00BC2EE3" w:rsidRPr="0020723B" w:rsidRDefault="00BC2EE3" w:rsidP="00BC2EE3">
      <w:pPr>
        <w:pStyle w:val="Heading6"/>
        <w:numPr>
          <w:ilvl w:val="0"/>
          <w:numId w:val="2"/>
        </w:numPr>
        <w:tabs>
          <w:tab w:val="left" w:pos="1274"/>
        </w:tabs>
        <w:spacing w:before="171"/>
        <w:ind w:left="1841" w:hanging="382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Ocena punktowa</w:t>
      </w:r>
    </w:p>
    <w:p w:rsidR="00BC2EE3" w:rsidRPr="0020723B" w:rsidRDefault="00BC2EE3" w:rsidP="00BC2EE3">
      <w:pPr>
        <w:pStyle w:val="Tekstpodstawowy"/>
        <w:tabs>
          <w:tab w:val="left" w:pos="1615"/>
        </w:tabs>
        <w:spacing w:before="206" w:line="242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5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minimalizuje ryzyko pomylenia pacjenta zgodnie z wymogami standardu.</w:t>
      </w:r>
    </w:p>
    <w:p w:rsidR="00BC2EE3" w:rsidRPr="0020723B" w:rsidRDefault="00BC2EE3" w:rsidP="00BC2EE3">
      <w:pPr>
        <w:pStyle w:val="Tekstpodstawowy"/>
        <w:tabs>
          <w:tab w:val="left" w:pos="1615"/>
        </w:tabs>
        <w:spacing w:line="247" w:lineRule="auto"/>
        <w:ind w:left="2182" w:right="712" w:hanging="341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3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podejmuje intensywne działania mające na celu spełnienie standardu (co najmniej 60% kamieni milowych jest spełnionych).</w:t>
      </w:r>
    </w:p>
    <w:p w:rsidR="00BC2EE3" w:rsidRPr="0020723B" w:rsidRDefault="00BC2EE3" w:rsidP="00BC2EE3">
      <w:pPr>
        <w:pStyle w:val="Tekstpodstawowy"/>
        <w:tabs>
          <w:tab w:val="left" w:pos="1615"/>
        </w:tabs>
        <w:spacing w:line="234" w:lineRule="exact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color w:val="072160"/>
          <w:sz w:val="22"/>
        </w:rPr>
        <w:t>1</w:t>
      </w:r>
      <w:r w:rsidRPr="0020723B">
        <w:rPr>
          <w:rFonts w:ascii="Calibri" w:hAnsi="Calibri" w:cs="Arial"/>
          <w:color w:val="072160"/>
          <w:sz w:val="22"/>
        </w:rPr>
        <w:tab/>
      </w:r>
      <w:r w:rsidRPr="0020723B">
        <w:rPr>
          <w:rFonts w:ascii="Calibri" w:hAnsi="Calibri" w:cs="Arial"/>
          <w:sz w:val="22"/>
        </w:rPr>
        <w:t>Szpital nie minimalizuje ryzyka pomylenia pacjenta zgodnie z wymogami standardu.</w:t>
      </w:r>
    </w:p>
    <w:p w:rsidR="00BC2EE3" w:rsidRPr="0020723B" w:rsidRDefault="00BC2EE3" w:rsidP="00BC2EE3">
      <w:pPr>
        <w:pStyle w:val="Heading6"/>
        <w:numPr>
          <w:ilvl w:val="0"/>
          <w:numId w:val="2"/>
        </w:numPr>
        <w:tabs>
          <w:tab w:val="left" w:pos="1275"/>
        </w:tabs>
        <w:spacing w:before="169"/>
        <w:ind w:hanging="400"/>
        <w:jc w:val="left"/>
        <w:rPr>
          <w:rFonts w:ascii="Calibri" w:hAnsi="Calibri" w:cs="Arial"/>
          <w:sz w:val="22"/>
          <w:szCs w:val="20"/>
        </w:rPr>
      </w:pPr>
      <w:r w:rsidRPr="0020723B">
        <w:rPr>
          <w:rFonts w:ascii="Calibri" w:hAnsi="Calibri" w:cs="Arial"/>
          <w:color w:val="072160"/>
          <w:sz w:val="22"/>
          <w:szCs w:val="20"/>
        </w:rPr>
        <w:t>Kamienie milowe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5"/>
        </w:tabs>
        <w:spacing w:before="206"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 xml:space="preserve">jednoznaczna identyfikacja prowadzona z wykorzystaniem </w:t>
      </w:r>
      <w:r>
        <w:rPr>
          <w:rFonts w:ascii="Calibri" w:hAnsi="Calibri" w:cs="Arial"/>
          <w:szCs w:val="20"/>
        </w:rPr>
        <w:t xml:space="preserve">co </w:t>
      </w:r>
      <w:r>
        <w:rPr>
          <w:rFonts w:ascii="Calibri" w:hAnsi="Calibri" w:cs="Arial"/>
          <w:szCs w:val="20"/>
        </w:rPr>
        <w:lastRenderedPageBreak/>
        <w:t>najmniej dwóch różnych iden</w:t>
      </w:r>
      <w:r w:rsidRPr="0020723B">
        <w:rPr>
          <w:rFonts w:ascii="Calibri" w:hAnsi="Calibri" w:cs="Arial"/>
          <w:szCs w:val="20"/>
        </w:rPr>
        <w:t>tyfikatorów określonych w opisie wymagań standardu jest stosowana;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6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proces identyfikowania pacjentów za pomocą dwóch różnych ident</w:t>
      </w:r>
      <w:r>
        <w:rPr>
          <w:rFonts w:ascii="Calibri" w:hAnsi="Calibri" w:cs="Arial"/>
          <w:szCs w:val="20"/>
        </w:rPr>
        <w:t>yfikatorów jest ujedno</w:t>
      </w:r>
      <w:r w:rsidRPr="0020723B">
        <w:rPr>
          <w:rFonts w:ascii="Calibri" w:hAnsi="Calibri" w:cs="Arial"/>
          <w:szCs w:val="20"/>
        </w:rPr>
        <w:t>licony w całym szpitalu;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9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metoda poprawnego identyfikowania pacjentów w sytuacjach szczególnych (np. nieustalonej tożsamości, nieprzytomny) jest ustalona;</w:t>
      </w:r>
    </w:p>
    <w:p w:rsidR="00BC2EE3" w:rsidRPr="0020723B" w:rsidRDefault="00BC2EE3" w:rsidP="00BC2EE3">
      <w:pPr>
        <w:pStyle w:val="Akapitzlist"/>
        <w:numPr>
          <w:ilvl w:val="1"/>
          <w:numId w:val="2"/>
        </w:numPr>
        <w:tabs>
          <w:tab w:val="left" w:pos="1615"/>
        </w:tabs>
        <w:spacing w:line="247" w:lineRule="auto"/>
        <w:ind w:right="703"/>
        <w:rPr>
          <w:rFonts w:ascii="Calibri" w:hAnsi="Calibri" w:cs="Arial"/>
          <w:szCs w:val="20"/>
        </w:rPr>
      </w:pPr>
      <w:r w:rsidRPr="0020723B">
        <w:rPr>
          <w:rFonts w:ascii="Calibri" w:hAnsi="Calibri" w:cs="Arial"/>
          <w:szCs w:val="20"/>
        </w:rPr>
        <w:t>pacjenci zwiększonego ryzyka (np. upadków, odleżyn, niedożywienia) są identyfikowani opaskami zakładanymi na nadgarstku opisanymi i w kolorze zgodnym z przyjętym w szpitalu kodem oznaczeń.</w:t>
      </w:r>
    </w:p>
    <w:p w:rsidR="00BC2EE3" w:rsidRPr="0020723B" w:rsidRDefault="00BC2EE3" w:rsidP="00BC2EE3">
      <w:pPr>
        <w:pStyle w:val="Tekstpodstawowy"/>
        <w:spacing w:before="209"/>
        <w:ind w:left="1842"/>
        <w:rPr>
          <w:rFonts w:ascii="Calibri" w:hAnsi="Calibri" w:cs="Arial"/>
          <w:sz w:val="22"/>
        </w:rPr>
      </w:pPr>
      <w:r w:rsidRPr="0020723B">
        <w:rPr>
          <w:rFonts w:ascii="Calibri" w:hAnsi="Calibri" w:cs="Arial"/>
          <w:sz w:val="22"/>
        </w:rPr>
        <w:t>Co najmniej 60% stanowi 3 kamienie milowe.</w:t>
      </w:r>
    </w:p>
    <w:p w:rsidR="00BC2EE3" w:rsidRPr="0020723B" w:rsidRDefault="00BC2EE3" w:rsidP="00BC2EE3">
      <w:pPr>
        <w:pStyle w:val="Tekstpodstawowy"/>
        <w:spacing w:before="3"/>
        <w:ind w:left="567"/>
        <w:rPr>
          <w:rFonts w:ascii="Calibri" w:hAnsi="Calibri" w:cs="Arial"/>
          <w:sz w:val="22"/>
        </w:rPr>
      </w:pPr>
    </w:p>
    <w:p w:rsidR="00BC2EE3" w:rsidRPr="0020723B" w:rsidRDefault="00BC2EE3" w:rsidP="00BC2EE3">
      <w:pPr>
        <w:pStyle w:val="Heading9"/>
        <w:jc w:val="left"/>
        <w:rPr>
          <w:rFonts w:ascii="Calibri" w:hAnsi="Calibri" w:cs="Arial"/>
          <w:b w:val="0"/>
          <w:sz w:val="22"/>
        </w:rPr>
      </w:pPr>
      <w:r w:rsidRPr="0020723B">
        <w:rPr>
          <w:rFonts w:ascii="Calibri" w:hAnsi="Calibri" w:cs="Arial"/>
          <w:b w:val="0"/>
          <w:color w:val="072160"/>
          <w:sz w:val="22"/>
        </w:rPr>
        <w:t>Waga standardu – 1</w:t>
      </w:r>
    </w:p>
    <w:p w:rsidR="00427D73" w:rsidRDefault="00BC2EE3"/>
    <w:sectPr w:rsidR="00427D73" w:rsidSect="00A9533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Black">
    <w:panose1 w:val="020B0A04020102020204"/>
    <w:charset w:val="EE"/>
    <w:family w:val="swiss"/>
    <w:pitch w:val="variable"/>
    <w:sig w:usb0="A00002AF" w:usb1="400078FB" w:usb2="00000000" w:usb3="00000000" w:csb0="0000009F" w:csb1="00000000"/>
  </w:font>
  <w:font w:name="Tahoma">
    <w:altName w:val="Tahoma"/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Times New Roman">
    <w:altName w:val="Times New Roman"/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EE"/>
    <w:family w:val="swiss"/>
    <w:pitch w:val="variable"/>
    <w:sig w:usb0="00000687" w:usb1="00000000" w:usb2="00000000" w:usb3="00000000" w:csb0="0000009F" w:csb1="00000000"/>
  </w:font>
  <w:font w:name="Arial">
    <w:altName w:val="Arial"/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E4E225D"/>
    <w:multiLevelType w:val="hybridMultilevel"/>
    <w:tmpl w:val="135C1A60"/>
    <w:lvl w:ilvl="0" w:tplc="43406A9E">
      <w:start w:val="1"/>
      <w:numFmt w:val="decimal"/>
      <w:lvlText w:val="%1."/>
      <w:lvlJc w:val="left"/>
      <w:pPr>
        <w:ind w:left="1842" w:hanging="329"/>
        <w:jc w:val="righ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72160"/>
        <w:spacing w:val="0"/>
        <w:w w:val="65"/>
        <w:sz w:val="24"/>
        <w:szCs w:val="24"/>
        <w:lang w:val="pl-PL" w:eastAsia="en-US" w:bidi="ar-SA"/>
      </w:rPr>
    </w:lvl>
    <w:lvl w:ilvl="1" w:tplc="CA362270">
      <w:start w:val="1"/>
      <w:numFmt w:val="decimal"/>
      <w:lvlText w:val="%2)"/>
      <w:lvlJc w:val="left"/>
      <w:pPr>
        <w:ind w:left="2182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2" w:tplc="86F00636">
      <w:numFmt w:val="bullet"/>
      <w:lvlText w:val="•"/>
      <w:lvlJc w:val="left"/>
      <w:pPr>
        <w:ind w:left="2180" w:hanging="344"/>
      </w:pPr>
      <w:rPr>
        <w:rFonts w:hint="default"/>
        <w:lang w:val="pl-PL" w:eastAsia="en-US" w:bidi="ar-SA"/>
      </w:rPr>
    </w:lvl>
    <w:lvl w:ilvl="3" w:tplc="941C61A8">
      <w:numFmt w:val="bullet"/>
      <w:lvlText w:val="•"/>
      <w:lvlJc w:val="left"/>
      <w:pPr>
        <w:ind w:left="3147" w:hanging="344"/>
      </w:pPr>
      <w:rPr>
        <w:rFonts w:hint="default"/>
        <w:lang w:val="pl-PL" w:eastAsia="en-US" w:bidi="ar-SA"/>
      </w:rPr>
    </w:lvl>
    <w:lvl w:ilvl="4" w:tplc="D818CA98">
      <w:numFmt w:val="bullet"/>
      <w:lvlText w:val="•"/>
      <w:lvlJc w:val="left"/>
      <w:pPr>
        <w:ind w:left="4115" w:hanging="344"/>
      </w:pPr>
      <w:rPr>
        <w:rFonts w:hint="default"/>
        <w:lang w:val="pl-PL" w:eastAsia="en-US" w:bidi="ar-SA"/>
      </w:rPr>
    </w:lvl>
    <w:lvl w:ilvl="5" w:tplc="D99A8874">
      <w:numFmt w:val="bullet"/>
      <w:lvlText w:val="•"/>
      <w:lvlJc w:val="left"/>
      <w:pPr>
        <w:ind w:left="5083" w:hanging="344"/>
      </w:pPr>
      <w:rPr>
        <w:rFonts w:hint="default"/>
        <w:lang w:val="pl-PL" w:eastAsia="en-US" w:bidi="ar-SA"/>
      </w:rPr>
    </w:lvl>
    <w:lvl w:ilvl="6" w:tplc="4A1EB958">
      <w:numFmt w:val="bullet"/>
      <w:lvlText w:val="•"/>
      <w:lvlJc w:val="left"/>
      <w:pPr>
        <w:ind w:left="6050" w:hanging="344"/>
      </w:pPr>
      <w:rPr>
        <w:rFonts w:hint="default"/>
        <w:lang w:val="pl-PL" w:eastAsia="en-US" w:bidi="ar-SA"/>
      </w:rPr>
    </w:lvl>
    <w:lvl w:ilvl="7" w:tplc="00FC440C">
      <w:numFmt w:val="bullet"/>
      <w:lvlText w:val="•"/>
      <w:lvlJc w:val="left"/>
      <w:pPr>
        <w:ind w:left="7018" w:hanging="344"/>
      </w:pPr>
      <w:rPr>
        <w:rFonts w:hint="default"/>
        <w:lang w:val="pl-PL" w:eastAsia="en-US" w:bidi="ar-SA"/>
      </w:rPr>
    </w:lvl>
    <w:lvl w:ilvl="8" w:tplc="E2F806D4">
      <w:numFmt w:val="bullet"/>
      <w:lvlText w:val="•"/>
      <w:lvlJc w:val="left"/>
      <w:pPr>
        <w:ind w:left="7986" w:hanging="344"/>
      </w:pPr>
      <w:rPr>
        <w:rFonts w:hint="default"/>
        <w:lang w:val="pl-PL" w:eastAsia="en-US" w:bidi="ar-SA"/>
      </w:rPr>
    </w:lvl>
  </w:abstractNum>
  <w:abstractNum w:abstractNumId="1">
    <w:nsid w:val="60625158"/>
    <w:multiLevelType w:val="hybridMultilevel"/>
    <w:tmpl w:val="D0A4DC8E"/>
    <w:lvl w:ilvl="0" w:tplc="E552FA62">
      <w:start w:val="1"/>
      <w:numFmt w:val="decimal"/>
      <w:lvlText w:val="%1)"/>
      <w:lvlJc w:val="left"/>
      <w:pPr>
        <w:ind w:left="1615" w:hanging="344"/>
      </w:pPr>
      <w:rPr>
        <w:rFonts w:ascii="Tahoma" w:eastAsia="Tahoma" w:hAnsi="Tahoma" w:cs="Tahoma" w:hint="default"/>
        <w:b/>
        <w:bCs/>
        <w:i w:val="0"/>
        <w:iCs w:val="0"/>
        <w:color w:val="072160"/>
        <w:spacing w:val="0"/>
        <w:w w:val="79"/>
        <w:sz w:val="20"/>
        <w:szCs w:val="20"/>
        <w:lang w:val="pl-PL" w:eastAsia="en-US" w:bidi="ar-SA"/>
      </w:rPr>
    </w:lvl>
    <w:lvl w:ilvl="1" w:tplc="3AD444C4">
      <w:numFmt w:val="bullet"/>
      <w:lvlText w:val="•"/>
      <w:lvlJc w:val="left"/>
      <w:pPr>
        <w:ind w:left="2450" w:hanging="344"/>
      </w:pPr>
      <w:rPr>
        <w:rFonts w:hint="default"/>
        <w:lang w:val="pl-PL" w:eastAsia="en-US" w:bidi="ar-SA"/>
      </w:rPr>
    </w:lvl>
    <w:lvl w:ilvl="2" w:tplc="A9A6AFA2">
      <w:numFmt w:val="bullet"/>
      <w:lvlText w:val="•"/>
      <w:lvlJc w:val="left"/>
      <w:pPr>
        <w:ind w:left="3280" w:hanging="344"/>
      </w:pPr>
      <w:rPr>
        <w:rFonts w:hint="default"/>
        <w:lang w:val="pl-PL" w:eastAsia="en-US" w:bidi="ar-SA"/>
      </w:rPr>
    </w:lvl>
    <w:lvl w:ilvl="3" w:tplc="89D400C0">
      <w:numFmt w:val="bullet"/>
      <w:lvlText w:val="•"/>
      <w:lvlJc w:val="left"/>
      <w:pPr>
        <w:ind w:left="4110" w:hanging="344"/>
      </w:pPr>
      <w:rPr>
        <w:rFonts w:hint="default"/>
        <w:lang w:val="pl-PL" w:eastAsia="en-US" w:bidi="ar-SA"/>
      </w:rPr>
    </w:lvl>
    <w:lvl w:ilvl="4" w:tplc="22BE3586">
      <w:numFmt w:val="bullet"/>
      <w:lvlText w:val="•"/>
      <w:lvlJc w:val="left"/>
      <w:pPr>
        <w:ind w:left="4940" w:hanging="344"/>
      </w:pPr>
      <w:rPr>
        <w:rFonts w:hint="default"/>
        <w:lang w:val="pl-PL" w:eastAsia="en-US" w:bidi="ar-SA"/>
      </w:rPr>
    </w:lvl>
    <w:lvl w:ilvl="5" w:tplc="9DC2AC58">
      <w:numFmt w:val="bullet"/>
      <w:lvlText w:val="•"/>
      <w:lvlJc w:val="left"/>
      <w:pPr>
        <w:ind w:left="5770" w:hanging="344"/>
      </w:pPr>
      <w:rPr>
        <w:rFonts w:hint="default"/>
        <w:lang w:val="pl-PL" w:eastAsia="en-US" w:bidi="ar-SA"/>
      </w:rPr>
    </w:lvl>
    <w:lvl w:ilvl="6" w:tplc="18B4F2A2">
      <w:numFmt w:val="bullet"/>
      <w:lvlText w:val="•"/>
      <w:lvlJc w:val="left"/>
      <w:pPr>
        <w:ind w:left="6600" w:hanging="344"/>
      </w:pPr>
      <w:rPr>
        <w:rFonts w:hint="default"/>
        <w:lang w:val="pl-PL" w:eastAsia="en-US" w:bidi="ar-SA"/>
      </w:rPr>
    </w:lvl>
    <w:lvl w:ilvl="7" w:tplc="B1E636B0">
      <w:numFmt w:val="bullet"/>
      <w:lvlText w:val="•"/>
      <w:lvlJc w:val="left"/>
      <w:pPr>
        <w:ind w:left="7431" w:hanging="344"/>
      </w:pPr>
      <w:rPr>
        <w:rFonts w:hint="default"/>
        <w:lang w:val="pl-PL" w:eastAsia="en-US" w:bidi="ar-SA"/>
      </w:rPr>
    </w:lvl>
    <w:lvl w:ilvl="8" w:tplc="83CA60CA">
      <w:numFmt w:val="bullet"/>
      <w:lvlText w:val="•"/>
      <w:lvlJc w:val="left"/>
      <w:pPr>
        <w:ind w:left="8261" w:hanging="344"/>
      </w:pPr>
      <w:rPr>
        <w:rFonts w:hint="default"/>
        <w:lang w:val="pl-PL" w:eastAsia="en-US" w:bidi="ar-S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efaultTabStop w:val="708"/>
  <w:hyphenationZone w:val="425"/>
  <w:characterSpacingControl w:val="doNotCompress"/>
  <w:compat/>
  <w:rsids>
    <w:rsidRoot w:val="00BC2EE3"/>
    <w:rsid w:val="000745AD"/>
    <w:rsid w:val="00682510"/>
    <w:rsid w:val="00A95332"/>
    <w:rsid w:val="00BC2EE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ny">
    <w:name w:val="Normal"/>
    <w:uiPriority w:val="1"/>
    <w:qFormat/>
    <w:rsid w:val="00BC2EE3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Tekstpodstawowy">
    <w:name w:val="Body Text"/>
    <w:basedOn w:val="Normalny"/>
    <w:link w:val="TekstpodstawowyZnak"/>
    <w:uiPriority w:val="1"/>
    <w:qFormat/>
    <w:rsid w:val="00BC2EE3"/>
    <w:rPr>
      <w:sz w:val="20"/>
      <w:szCs w:val="20"/>
    </w:rPr>
  </w:style>
  <w:style w:type="character" w:customStyle="1" w:styleId="TekstpodstawowyZnak">
    <w:name w:val="Tekst podstawowy Znak"/>
    <w:basedOn w:val="Domylnaczcionkaakapitu"/>
    <w:link w:val="Tekstpodstawowy"/>
    <w:uiPriority w:val="1"/>
    <w:rsid w:val="00BC2EE3"/>
    <w:rPr>
      <w:rFonts w:ascii="Trebuchet MS" w:eastAsia="Trebuchet MS" w:hAnsi="Trebuchet MS" w:cs="Trebuchet MS"/>
      <w:sz w:val="20"/>
      <w:szCs w:val="20"/>
    </w:rPr>
  </w:style>
  <w:style w:type="paragraph" w:customStyle="1" w:styleId="Heading4">
    <w:name w:val="Heading 4"/>
    <w:basedOn w:val="Normalny"/>
    <w:uiPriority w:val="1"/>
    <w:qFormat/>
    <w:rsid w:val="00BC2EE3"/>
    <w:pPr>
      <w:ind w:left="1842"/>
      <w:outlineLvl w:val="4"/>
    </w:pPr>
    <w:rPr>
      <w:rFonts w:ascii="Arial Black" w:eastAsia="Arial Black" w:hAnsi="Arial Black" w:cs="Arial Black"/>
      <w:sz w:val="28"/>
      <w:szCs w:val="28"/>
    </w:rPr>
  </w:style>
  <w:style w:type="paragraph" w:customStyle="1" w:styleId="Heading6">
    <w:name w:val="Heading 6"/>
    <w:basedOn w:val="Normalny"/>
    <w:uiPriority w:val="1"/>
    <w:qFormat/>
    <w:rsid w:val="00BC2EE3"/>
    <w:pPr>
      <w:ind w:left="1841" w:hanging="328"/>
      <w:outlineLvl w:val="6"/>
    </w:pPr>
    <w:rPr>
      <w:rFonts w:ascii="Arial Black" w:eastAsia="Arial Black" w:hAnsi="Arial Black" w:cs="Arial Black"/>
      <w:sz w:val="24"/>
      <w:szCs w:val="24"/>
    </w:rPr>
  </w:style>
  <w:style w:type="paragraph" w:customStyle="1" w:styleId="Heading9">
    <w:name w:val="Heading 9"/>
    <w:basedOn w:val="Normalny"/>
    <w:uiPriority w:val="1"/>
    <w:qFormat/>
    <w:rsid w:val="00BC2EE3"/>
    <w:pPr>
      <w:ind w:left="1842"/>
      <w:jc w:val="both"/>
    </w:pPr>
    <w:rPr>
      <w:rFonts w:ascii="Tahoma" w:eastAsia="Tahoma" w:hAnsi="Tahoma" w:cs="Tahoma"/>
      <w:b/>
      <w:bCs/>
      <w:sz w:val="20"/>
      <w:szCs w:val="20"/>
    </w:rPr>
  </w:style>
  <w:style w:type="paragraph" w:styleId="Akapitzlist">
    <w:name w:val="List Paragraph"/>
    <w:basedOn w:val="Normalny"/>
    <w:uiPriority w:val="1"/>
    <w:qFormat/>
    <w:rsid w:val="00BC2EE3"/>
    <w:pPr>
      <w:spacing w:line="240" w:lineRule="exact"/>
      <w:ind w:left="2181" w:hanging="343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372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Amadeusz</dc:creator>
  <cp:keywords/>
  <dc:description/>
  <cp:lastModifiedBy>Amadeusz</cp:lastModifiedBy>
  <cp:revision>2</cp:revision>
  <dcterms:created xsi:type="dcterms:W3CDTF">2025-08-01T09:27:00Z</dcterms:created>
  <dcterms:modified xsi:type="dcterms:W3CDTF">2025-08-01T09:28:00Z</dcterms:modified>
</cp:coreProperties>
</file>