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395F" w:rsidRPr="0020723B" w:rsidRDefault="00CF395F" w:rsidP="00CF395F">
      <w:pPr>
        <w:pStyle w:val="Heading4"/>
        <w:spacing w:line="194" w:lineRule="auto"/>
        <w:ind w:left="1275" w:right="707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969" o:spid="_x0000_s1026" type="#_x0000_t202" style="position:absolute;left:0;text-align:left;margin-left:56.7pt;margin-top:-11.2pt;width:45.4pt;height:64.7pt;z-index:251660288;mso-position-horizontal-relative:page" fillcolor="#bee3eb" stroked="f">
            <v:textbox inset="0,0,0,0">
              <w:txbxContent>
                <w:p w:rsidR="00CF395F" w:rsidRDefault="00CF395F" w:rsidP="00CF395F">
                  <w:pPr>
                    <w:pStyle w:val="Tekstpodstawowy"/>
                    <w:spacing w:before="209"/>
                    <w:rPr>
                      <w:color w:val="000000"/>
                      <w:sz w:val="24"/>
                    </w:rPr>
                  </w:pPr>
                </w:p>
                <w:p w:rsidR="00CF395F" w:rsidRDefault="00CF395F" w:rsidP="00CF395F">
                  <w:pPr>
                    <w:spacing w:before="1"/>
                    <w:ind w:left="201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5"/>
                      <w:sz w:val="24"/>
                    </w:rPr>
                    <w:t>BP</w:t>
                  </w:r>
                  <w:r>
                    <w:rPr>
                      <w:rFonts w:ascii="Arial Black"/>
                      <w:color w:val="072160"/>
                      <w:spacing w:val="-18"/>
                      <w:w w:val="85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sz w:val="24"/>
                    </w:rPr>
                    <w:t>3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MINIMALIZUJE RYZYKO WYKONYWANYCH ZABIEGÓW (STANDARD OBLIGATORYJNY;</w:t>
      </w:r>
    </w:p>
    <w:p w:rsidR="00CF395F" w:rsidRPr="0020723B" w:rsidRDefault="00CF395F" w:rsidP="00CF395F">
      <w:pPr>
        <w:pStyle w:val="Heading4"/>
        <w:spacing w:line="337" w:lineRule="exact"/>
        <w:ind w:left="1275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STANDARD MOŻE BYĆ WYŁĄCZONY).</w:t>
      </w:r>
    </w:p>
    <w:p w:rsidR="00CF395F" w:rsidRPr="0020723B" w:rsidRDefault="00CF395F" w:rsidP="00CF395F">
      <w:pPr>
        <w:pStyle w:val="Tekstpodstawowy"/>
        <w:spacing w:before="133"/>
        <w:rPr>
          <w:rFonts w:ascii="Calibri" w:hAnsi="Calibri" w:cs="Arial"/>
          <w:sz w:val="22"/>
        </w:rPr>
      </w:pPr>
    </w:p>
    <w:p w:rsidR="00CF395F" w:rsidRPr="0020723B" w:rsidRDefault="00CF395F" w:rsidP="00CF395F">
      <w:pPr>
        <w:pStyle w:val="Heading6"/>
        <w:numPr>
          <w:ilvl w:val="0"/>
          <w:numId w:val="3"/>
        </w:numPr>
        <w:tabs>
          <w:tab w:val="left" w:pos="1275"/>
        </w:tabs>
        <w:spacing w:before="1"/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CF395F" w:rsidRPr="0020723B" w:rsidRDefault="00CF395F" w:rsidP="00CF395F">
      <w:pPr>
        <w:pStyle w:val="Tekstpodstawowy"/>
        <w:spacing w:before="217" w:line="247" w:lineRule="auto"/>
        <w:ind w:left="1275" w:right="70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dokłada wszelkich starań, aby nie występowały przypadki wykonywania niewłaściwego zabiegu, w tym zabiegu u niewłaściwego pacjenta.</w:t>
      </w:r>
    </w:p>
    <w:p w:rsidR="00CF395F" w:rsidRPr="0020723B" w:rsidRDefault="00CF395F" w:rsidP="00CF395F">
      <w:pPr>
        <w:pStyle w:val="Tekstpodstawowy"/>
        <w:spacing w:before="2" w:line="247" w:lineRule="auto"/>
        <w:ind w:left="1275" w:right="70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Stosowanie odpowiedniej zapobiegawczej procedury u każdego pacjenta, u którego planuje się wykonanie operacji lub innego zabiegu inwazyjnego obniża ryz</w:t>
      </w:r>
      <w:r>
        <w:rPr>
          <w:rFonts w:ascii="Calibri" w:hAnsi="Calibri" w:cs="Arial"/>
          <w:sz w:val="22"/>
        </w:rPr>
        <w:t>yko wystąpienia takich przypad</w:t>
      </w:r>
      <w:r w:rsidRPr="0020723B">
        <w:rPr>
          <w:rFonts w:ascii="Calibri" w:hAnsi="Calibri" w:cs="Arial"/>
          <w:sz w:val="22"/>
        </w:rPr>
        <w:t>ków. Postępowanie zapobiegawcze w oddziale powinno obejmować:</w:t>
      </w:r>
    </w:p>
    <w:p w:rsidR="00CF395F" w:rsidRPr="0020723B" w:rsidRDefault="00CF395F" w:rsidP="00CF395F">
      <w:pPr>
        <w:pStyle w:val="Akapitzlist"/>
        <w:numPr>
          <w:ilvl w:val="1"/>
          <w:numId w:val="3"/>
        </w:numPr>
        <w:tabs>
          <w:tab w:val="left" w:pos="1614"/>
        </w:tabs>
        <w:spacing w:line="23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zgromadzenie i weryfikację pełnej niezbędnej informacji, dokumentacji i badań pacjenta,</w:t>
      </w:r>
    </w:p>
    <w:p w:rsidR="00CF395F" w:rsidRPr="0020723B" w:rsidRDefault="00CF395F" w:rsidP="00CF395F">
      <w:pPr>
        <w:pStyle w:val="Akapitzlist"/>
        <w:numPr>
          <w:ilvl w:val="1"/>
          <w:numId w:val="3"/>
        </w:numPr>
        <w:tabs>
          <w:tab w:val="left" w:pos="1615"/>
        </w:tabs>
        <w:spacing w:line="247" w:lineRule="auto"/>
        <w:ind w:right="707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weryfikację rodzaju planowanej procedury zabiegowej, miejsca zabiegu i jeżeli to zasadne, rodzaju implantu jaki zostanie użyty,</w:t>
      </w:r>
    </w:p>
    <w:p w:rsidR="00CF395F" w:rsidRPr="0020723B" w:rsidRDefault="00CF395F" w:rsidP="00CF395F">
      <w:pPr>
        <w:pStyle w:val="Akapitzlist"/>
        <w:numPr>
          <w:ilvl w:val="1"/>
          <w:numId w:val="3"/>
        </w:numPr>
        <w:tabs>
          <w:tab w:val="left" w:pos="1615"/>
        </w:tabs>
        <w:spacing w:line="247" w:lineRule="auto"/>
        <w:ind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zaznaczenie miejsca operowanego, dla jednoznacznego wskazania miejsca dostępu: nacięcia lub nakłucia. Miejsce operowane należy oznaczyć markerem, którego znaki będą widoczne</w:t>
      </w:r>
    </w:p>
    <w:p w:rsidR="00CF395F" w:rsidRPr="0020723B" w:rsidRDefault="00CF395F" w:rsidP="00CF395F">
      <w:pPr>
        <w:pStyle w:val="Tekstpodstawowy"/>
        <w:spacing w:before="91" w:line="247" w:lineRule="auto"/>
        <w:ind w:left="2182" w:right="142"/>
        <w:rPr>
          <w:rFonts w:ascii="Calibri" w:hAnsi="Calibri" w:cs="Arial"/>
          <w:sz w:val="22"/>
        </w:rPr>
      </w:pPr>
      <w:r>
        <w:rPr>
          <w:rFonts w:ascii="Calibri" w:hAnsi="Calibri" w:cs="Arial"/>
          <w:sz w:val="22"/>
        </w:rPr>
        <w:pict>
          <v:shape id="docshape1970" o:spid="_x0000_s1027" type="#_x0000_t202" style="position:absolute;left:0;text-align:left;margin-left:568.95pt;margin-top:617.25pt;width:24.4pt;height:49.95pt;z-index:251661312;mso-position-horizontal-relative:page;mso-position-vertical-relative:page" filled="f" stroked="f">
            <v:textbox style="layout-flow:vertical" inset="0,0,0,0">
              <w:txbxContent>
                <w:p w:rsidR="00CF395F" w:rsidRDefault="00CF395F" w:rsidP="00CF395F">
                  <w:pPr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25"/>
                      <w:sz w:val="32"/>
                      <w:shd w:val="clear" w:color="auto" w:fill="072160"/>
                    </w:rPr>
                    <w:t xml:space="preserve">  </w:t>
                  </w:r>
                  <w:r>
                    <w:rPr>
                      <w:rFonts w:ascii="Arial Black"/>
                      <w:color w:val="FFFFFF"/>
                      <w:spacing w:val="-5"/>
                      <w:sz w:val="32"/>
                      <w:shd w:val="clear" w:color="auto" w:fill="072160"/>
                    </w:rPr>
                    <w:t>BP</w:t>
                  </w:r>
                  <w:r>
                    <w:rPr>
                      <w:rFonts w:ascii="Arial Black"/>
                      <w:color w:val="FFFFFF"/>
                      <w:spacing w:val="80"/>
                      <w:w w:val="150"/>
                      <w:sz w:val="32"/>
                      <w:shd w:val="clear" w:color="auto" w:fill="072160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 w:rsidRPr="0020723B">
        <w:rPr>
          <w:rFonts w:ascii="Calibri" w:hAnsi="Calibri" w:cs="Arial"/>
          <w:sz w:val="22"/>
        </w:rPr>
        <w:t>też wtedy, gdy skóra pacjenta zostanie przygotowana i obłożona do zabiegu, szczególnie w przypadku procedur dotyczących wyboru prawa/lewa strona, struktur wielokrotnych (takich jak palce) lub poziomu (jak procedury w obrębie kręgosłupa).</w:t>
      </w:r>
    </w:p>
    <w:p w:rsidR="00CF395F" w:rsidRPr="0020723B" w:rsidRDefault="00CF395F" w:rsidP="00CF395F">
      <w:pPr>
        <w:pStyle w:val="Tekstpodstawowy"/>
        <w:spacing w:before="10"/>
        <w:rPr>
          <w:rFonts w:ascii="Calibri" w:hAnsi="Calibri" w:cs="Arial"/>
          <w:sz w:val="22"/>
        </w:rPr>
      </w:pPr>
    </w:p>
    <w:p w:rsidR="00CF395F" w:rsidRPr="0020723B" w:rsidRDefault="00CF395F" w:rsidP="00CF395F">
      <w:pPr>
        <w:pStyle w:val="Tekstpodstawowy"/>
        <w:spacing w:before="1" w:line="247" w:lineRule="auto"/>
        <w:ind w:left="1842" w:right="14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Jednak oznaczanie miejsca operowanego powinno dotyczyć wszystkich operacji, a nie tylko zabiegów przeprowadzanych na narządach lub organach parzystych.</w:t>
      </w:r>
    </w:p>
    <w:p w:rsidR="00CF395F" w:rsidRPr="0020723B" w:rsidRDefault="00CF395F" w:rsidP="00CF395F">
      <w:pPr>
        <w:pStyle w:val="Tekstpodstawowy"/>
        <w:spacing w:before="1" w:line="247" w:lineRule="auto"/>
        <w:ind w:left="1842" w:right="13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Postępowanie zapobiegawcze na sali operacyjnej lub zabiegowej powinno obe</w:t>
      </w:r>
      <w:r>
        <w:rPr>
          <w:rFonts w:ascii="Calibri" w:hAnsi="Calibri" w:cs="Arial"/>
          <w:sz w:val="22"/>
        </w:rPr>
        <w:t>jmować stoso</w:t>
      </w:r>
      <w:r w:rsidRPr="0020723B">
        <w:rPr>
          <w:rFonts w:ascii="Calibri" w:hAnsi="Calibri" w:cs="Arial"/>
          <w:sz w:val="22"/>
        </w:rPr>
        <w:t xml:space="preserve">wanie Okołooperacyjnej Karty Kontrolnej (OKK) – narzędzia służącego do zmniejszania ryzyka </w:t>
      </w:r>
      <w:proofErr w:type="spellStart"/>
      <w:r w:rsidRPr="0020723B">
        <w:rPr>
          <w:rFonts w:ascii="Calibri" w:hAnsi="Calibri" w:cs="Arial"/>
          <w:sz w:val="22"/>
        </w:rPr>
        <w:t>okołozabiegowego</w:t>
      </w:r>
      <w:proofErr w:type="spellEnd"/>
      <w:r w:rsidRPr="0020723B">
        <w:rPr>
          <w:rFonts w:ascii="Calibri" w:hAnsi="Calibri" w:cs="Arial"/>
          <w:sz w:val="22"/>
        </w:rPr>
        <w:t>.</w:t>
      </w:r>
    </w:p>
    <w:p w:rsidR="00CF395F" w:rsidRPr="0020723B" w:rsidRDefault="00CF395F" w:rsidP="00CF395F">
      <w:pPr>
        <w:pStyle w:val="Tekstpodstawowy"/>
        <w:spacing w:before="3" w:line="230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Kolejność poszczególnych elementów OKK jest zgodna z przebiegiem zabiegu i dotyczy:</w:t>
      </w:r>
    </w:p>
    <w:p w:rsidR="00CF395F" w:rsidRPr="0020723B" w:rsidRDefault="00CF395F" w:rsidP="00CF395F">
      <w:pPr>
        <w:pStyle w:val="Akapitzlist"/>
        <w:numPr>
          <w:ilvl w:val="2"/>
          <w:numId w:val="3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etapu przed indukcją znieczulenia;</w:t>
      </w:r>
    </w:p>
    <w:p w:rsidR="00CF395F" w:rsidRPr="0020723B" w:rsidRDefault="00CF395F" w:rsidP="00CF395F">
      <w:pPr>
        <w:pStyle w:val="Akapitzlist"/>
        <w:numPr>
          <w:ilvl w:val="2"/>
          <w:numId w:val="3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etapu przed nacięciem powłok;</w:t>
      </w:r>
    </w:p>
    <w:p w:rsidR="00CF395F" w:rsidRPr="0020723B" w:rsidRDefault="00CF395F" w:rsidP="00CF395F">
      <w:pPr>
        <w:pStyle w:val="Akapitzlist"/>
        <w:numPr>
          <w:ilvl w:val="2"/>
          <w:numId w:val="3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etapu przed wyjazdem pacjenta z sali operacyjnej.</w:t>
      </w:r>
    </w:p>
    <w:p w:rsidR="00CF395F" w:rsidRPr="0020723B" w:rsidRDefault="00CF395F" w:rsidP="00CF395F">
      <w:pPr>
        <w:pStyle w:val="Tekstpodstawowy"/>
        <w:spacing w:before="15"/>
        <w:rPr>
          <w:rFonts w:ascii="Calibri" w:hAnsi="Calibri" w:cs="Arial"/>
          <w:sz w:val="22"/>
        </w:rPr>
      </w:pPr>
    </w:p>
    <w:p w:rsidR="00CF395F" w:rsidRPr="0020723B" w:rsidRDefault="00CF395F" w:rsidP="00CF395F">
      <w:pPr>
        <w:pStyle w:val="Tekstpodstawowy"/>
        <w:spacing w:line="247" w:lineRule="auto"/>
        <w:ind w:left="1842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Na każdym z etapów koordynator OKK musi uzyskać od zespołu wy</w:t>
      </w:r>
      <w:r>
        <w:rPr>
          <w:rFonts w:ascii="Calibri" w:hAnsi="Calibri" w:cs="Arial"/>
          <w:sz w:val="22"/>
        </w:rPr>
        <w:t>raźne potwierdzenie, że zreali</w:t>
      </w:r>
      <w:r w:rsidRPr="0020723B">
        <w:rPr>
          <w:rFonts w:ascii="Calibri" w:hAnsi="Calibri" w:cs="Arial"/>
          <w:sz w:val="22"/>
        </w:rPr>
        <w:t>zowano poszczególne wymogi. Uzyskanie potwierdzenia warunkuje przejście do kolejnego etapu zabiegu. Karta umożliwia też wstrzymanie zabiegu w sytuacjach zagrażających bezpieczeństwu operowanego pacjenta.</w:t>
      </w:r>
    </w:p>
    <w:p w:rsidR="00CF395F" w:rsidRPr="0020723B" w:rsidRDefault="00CF395F" w:rsidP="00CF395F">
      <w:pPr>
        <w:pStyle w:val="Tekstpodstawowy"/>
        <w:spacing w:before="3" w:line="247" w:lineRule="auto"/>
        <w:ind w:left="1842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 xml:space="preserve">Korzyści, jakie wynikają ze stosowania OKK są uwarunkowane poprawnością wdrożenia, zgodną z metodologią opracowaną przez CMJ na podstawie wytycznych WHO. Forma </w:t>
      </w:r>
      <w:proofErr w:type="spellStart"/>
      <w:r w:rsidRPr="0020723B">
        <w:rPr>
          <w:rFonts w:ascii="Calibri" w:hAnsi="Calibri" w:cs="Arial"/>
          <w:sz w:val="22"/>
        </w:rPr>
        <w:t>checklisty</w:t>
      </w:r>
      <w:proofErr w:type="spellEnd"/>
      <w:r w:rsidRPr="0020723B">
        <w:rPr>
          <w:rFonts w:ascii="Calibri" w:hAnsi="Calibri" w:cs="Arial"/>
          <w:sz w:val="22"/>
        </w:rPr>
        <w:t xml:space="preserve"> narzuca konieczność werbalizacji poszczególnych elementów, istotnyc</w:t>
      </w:r>
      <w:r>
        <w:rPr>
          <w:rFonts w:ascii="Calibri" w:hAnsi="Calibri" w:cs="Arial"/>
          <w:sz w:val="22"/>
        </w:rPr>
        <w:t xml:space="preserve">h dla bezpieczeństwa </w:t>
      </w:r>
      <w:proofErr w:type="spellStart"/>
      <w:r>
        <w:rPr>
          <w:rFonts w:ascii="Calibri" w:hAnsi="Calibri" w:cs="Arial"/>
          <w:sz w:val="22"/>
        </w:rPr>
        <w:t>okołozabie</w:t>
      </w:r>
      <w:r w:rsidRPr="0020723B">
        <w:rPr>
          <w:rFonts w:ascii="Calibri" w:hAnsi="Calibri" w:cs="Arial"/>
          <w:sz w:val="22"/>
        </w:rPr>
        <w:t>gowego</w:t>
      </w:r>
      <w:proofErr w:type="spellEnd"/>
      <w:r w:rsidRPr="0020723B">
        <w:rPr>
          <w:rFonts w:ascii="Calibri" w:hAnsi="Calibri" w:cs="Arial"/>
          <w:sz w:val="22"/>
        </w:rPr>
        <w:t>. Oznacza to, że największą i jedyną wartość ma stosowanie OKK w rzeczywistym czasie trwania poszczególnych etapów zabiegu – tylko takie zastosowanie jest poprawne.</w:t>
      </w:r>
    </w:p>
    <w:p w:rsidR="00CF395F" w:rsidRPr="0020723B" w:rsidRDefault="00CF395F" w:rsidP="00CF395F">
      <w:pPr>
        <w:pStyle w:val="Tekstpodstawowy"/>
        <w:spacing w:before="12"/>
        <w:rPr>
          <w:rFonts w:ascii="Calibri" w:hAnsi="Calibri" w:cs="Arial"/>
          <w:sz w:val="22"/>
        </w:rPr>
      </w:pPr>
    </w:p>
    <w:p w:rsidR="00CF395F" w:rsidRPr="0020723B" w:rsidRDefault="00CF395F" w:rsidP="00CF395F">
      <w:pPr>
        <w:pStyle w:val="Tekstpodstawowy"/>
        <w:spacing w:line="230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Prowadzenie OKK powinno być spójne z zapisami w historii choroby, dotyczącymi przykładowo:</w:t>
      </w:r>
    </w:p>
    <w:p w:rsidR="00CF395F" w:rsidRPr="0020723B" w:rsidRDefault="00CF395F" w:rsidP="00CF395F">
      <w:pPr>
        <w:pStyle w:val="Akapitzlist"/>
        <w:numPr>
          <w:ilvl w:val="0"/>
          <w:numId w:val="2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proofErr w:type="spellStart"/>
      <w:r w:rsidRPr="0020723B">
        <w:rPr>
          <w:rFonts w:ascii="Calibri" w:hAnsi="Calibri" w:cs="Arial"/>
          <w:szCs w:val="20"/>
        </w:rPr>
        <w:lastRenderedPageBreak/>
        <w:t>okołooperacjnej</w:t>
      </w:r>
      <w:proofErr w:type="spellEnd"/>
      <w:r w:rsidRPr="0020723B">
        <w:rPr>
          <w:rFonts w:ascii="Calibri" w:hAnsi="Calibri" w:cs="Arial"/>
          <w:szCs w:val="20"/>
        </w:rPr>
        <w:t xml:space="preserve"> profilaktyki antybiotykowej;</w:t>
      </w:r>
    </w:p>
    <w:p w:rsidR="00CF395F" w:rsidRPr="0020723B" w:rsidRDefault="00CF395F" w:rsidP="00CF395F">
      <w:pPr>
        <w:pStyle w:val="Akapitzlist"/>
        <w:numPr>
          <w:ilvl w:val="0"/>
          <w:numId w:val="2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profilaktyki przeciwzakrzepowej;</w:t>
      </w:r>
    </w:p>
    <w:p w:rsidR="00CF395F" w:rsidRPr="0020723B" w:rsidRDefault="00CF395F" w:rsidP="00CF395F">
      <w:pPr>
        <w:pStyle w:val="Akapitzlist"/>
        <w:numPr>
          <w:ilvl w:val="0"/>
          <w:numId w:val="2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alergii i nadwrażliwości na leki.</w:t>
      </w:r>
    </w:p>
    <w:p w:rsidR="00CF395F" w:rsidRPr="0020723B" w:rsidRDefault="00CF395F" w:rsidP="00CF395F">
      <w:pPr>
        <w:pStyle w:val="Tekstpodstawowy"/>
        <w:spacing w:before="16"/>
        <w:rPr>
          <w:rFonts w:ascii="Calibri" w:hAnsi="Calibri" w:cs="Arial"/>
          <w:sz w:val="22"/>
        </w:rPr>
      </w:pPr>
    </w:p>
    <w:p w:rsidR="00CF395F" w:rsidRPr="0020723B" w:rsidRDefault="00CF395F" w:rsidP="00CF395F">
      <w:pPr>
        <w:pStyle w:val="Tekstpodstawowy"/>
        <w:spacing w:line="230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Wprowadzenie lub przywrócenie właściwego stosowania OKK wymaga:</w:t>
      </w:r>
    </w:p>
    <w:p w:rsidR="00CF395F" w:rsidRPr="0020723B" w:rsidRDefault="00CF395F" w:rsidP="00CF395F">
      <w:pPr>
        <w:pStyle w:val="Akapitzlist"/>
        <w:numPr>
          <w:ilvl w:val="0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określenia osoby odpowiedzialnej za poprawne stosowanie OKK w szpitalu;</w:t>
      </w:r>
    </w:p>
    <w:p w:rsidR="00CF395F" w:rsidRPr="0020723B" w:rsidRDefault="00CF395F" w:rsidP="00CF395F">
      <w:pPr>
        <w:pStyle w:val="Akapitzlist"/>
        <w:numPr>
          <w:ilvl w:val="0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przeszkolenia zespołów operacyjnych w zakresie stosowania OKK;</w:t>
      </w:r>
    </w:p>
    <w:p w:rsidR="00CF395F" w:rsidRPr="0020723B" w:rsidRDefault="00CF395F" w:rsidP="00CF395F">
      <w:pPr>
        <w:pStyle w:val="Akapitzlist"/>
        <w:numPr>
          <w:ilvl w:val="0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nadzorowania stosowania OKK.</w:t>
      </w:r>
    </w:p>
    <w:p w:rsidR="00CF395F" w:rsidRPr="0020723B" w:rsidRDefault="00CF395F" w:rsidP="00CF395F">
      <w:pPr>
        <w:pStyle w:val="Tekstpodstawowy"/>
        <w:spacing w:before="15"/>
        <w:rPr>
          <w:rFonts w:ascii="Calibri" w:hAnsi="Calibri" w:cs="Arial"/>
          <w:sz w:val="22"/>
        </w:rPr>
      </w:pPr>
    </w:p>
    <w:p w:rsidR="00CF395F" w:rsidRPr="0020723B" w:rsidRDefault="00CF395F" w:rsidP="00CF395F">
      <w:pPr>
        <w:pStyle w:val="Tekstpodstawowy"/>
        <w:spacing w:line="247" w:lineRule="auto"/>
        <w:ind w:left="1842" w:right="140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OKK powinna być stosowana nie tylko dla zabiegów z udziałem anestezjologa, ale także dla za- biegów kardiologii interwencyjnej oraz sejsmoterapii.</w:t>
      </w:r>
    </w:p>
    <w:p w:rsidR="00CF395F" w:rsidRPr="0020723B" w:rsidRDefault="00CF395F" w:rsidP="00CF395F">
      <w:pPr>
        <w:pStyle w:val="Tekstpodstawowy"/>
        <w:spacing w:before="2" w:line="247" w:lineRule="auto"/>
        <w:ind w:left="1842" w:right="134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Standard jest obligatoryjny dla szpitali realizujących procedury zabiegowe, dla pozostałych szpitali może podlegać wyłączeniu.</w:t>
      </w:r>
    </w:p>
    <w:p w:rsidR="00CF395F" w:rsidRPr="0020723B" w:rsidRDefault="00CF395F" w:rsidP="00CF395F">
      <w:pPr>
        <w:pStyle w:val="Tekstpodstawowy"/>
        <w:spacing w:before="173"/>
        <w:rPr>
          <w:rFonts w:ascii="Calibri" w:hAnsi="Calibri" w:cs="Arial"/>
          <w:sz w:val="22"/>
        </w:rPr>
      </w:pPr>
    </w:p>
    <w:p w:rsidR="00CF395F" w:rsidRPr="0020723B" w:rsidRDefault="00CF395F" w:rsidP="00CF395F">
      <w:pPr>
        <w:pStyle w:val="Heading6"/>
        <w:numPr>
          <w:ilvl w:val="0"/>
          <w:numId w:val="3"/>
        </w:numPr>
        <w:tabs>
          <w:tab w:val="left" w:pos="1841"/>
        </w:tabs>
        <w:ind w:left="1841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CF395F" w:rsidRPr="0020723B" w:rsidRDefault="00CF395F" w:rsidP="00CF395F">
      <w:pPr>
        <w:pStyle w:val="Akapitzlist"/>
        <w:numPr>
          <w:ilvl w:val="1"/>
          <w:numId w:val="3"/>
        </w:numPr>
        <w:tabs>
          <w:tab w:val="left" w:pos="2181"/>
        </w:tabs>
        <w:spacing w:before="206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CF395F" w:rsidRPr="0020723B" w:rsidRDefault="00CF395F" w:rsidP="00CF395F">
      <w:pPr>
        <w:pStyle w:val="Akapitzlist"/>
        <w:numPr>
          <w:ilvl w:val="1"/>
          <w:numId w:val="3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medycznej;</w:t>
      </w:r>
    </w:p>
    <w:p w:rsidR="00CF395F" w:rsidRPr="0020723B" w:rsidRDefault="00CF395F" w:rsidP="00CF395F">
      <w:pPr>
        <w:pStyle w:val="Akapitzlist"/>
        <w:numPr>
          <w:ilvl w:val="1"/>
          <w:numId w:val="3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kierownikiem;</w:t>
      </w:r>
    </w:p>
    <w:p w:rsidR="00CF395F" w:rsidRPr="0020723B" w:rsidRDefault="00CF395F" w:rsidP="00CF395F">
      <w:pPr>
        <w:pStyle w:val="Akapitzlist"/>
        <w:numPr>
          <w:ilvl w:val="1"/>
          <w:numId w:val="3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CF395F" w:rsidRPr="0020723B" w:rsidRDefault="00CF395F" w:rsidP="00CF395F">
      <w:pPr>
        <w:pStyle w:val="Akapitzlist"/>
        <w:numPr>
          <w:ilvl w:val="1"/>
          <w:numId w:val="3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CF395F" w:rsidRPr="0020723B" w:rsidRDefault="00CF395F" w:rsidP="00CF395F">
      <w:pPr>
        <w:pStyle w:val="Tekstpodstawowy"/>
        <w:spacing w:before="179"/>
        <w:rPr>
          <w:rFonts w:ascii="Calibri" w:hAnsi="Calibri" w:cs="Arial"/>
          <w:sz w:val="22"/>
        </w:rPr>
      </w:pPr>
    </w:p>
    <w:p w:rsidR="00CF395F" w:rsidRPr="0020723B" w:rsidRDefault="00CF395F" w:rsidP="00CF395F">
      <w:pPr>
        <w:pStyle w:val="Heading6"/>
        <w:numPr>
          <w:ilvl w:val="0"/>
          <w:numId w:val="3"/>
        </w:numPr>
        <w:tabs>
          <w:tab w:val="left" w:pos="1841"/>
        </w:tabs>
        <w:ind w:left="1841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CF395F" w:rsidRPr="0020723B" w:rsidRDefault="00CF395F" w:rsidP="00CF395F">
      <w:pPr>
        <w:pStyle w:val="Tekstpodstawowy"/>
        <w:tabs>
          <w:tab w:val="left" w:pos="2182"/>
        </w:tabs>
        <w:spacing w:before="205" w:line="242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minimalizuje ryzyko wykonywanych zabiegów zgodnie z wymogami standardu.</w:t>
      </w:r>
    </w:p>
    <w:p w:rsidR="00CF395F" w:rsidRPr="0020723B" w:rsidRDefault="00CF395F" w:rsidP="00CF395F">
      <w:pPr>
        <w:pStyle w:val="Tekstpodstawowy"/>
        <w:tabs>
          <w:tab w:val="left" w:pos="2182"/>
        </w:tabs>
        <w:spacing w:line="242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minimalizuje ryzyka wykonywanych zabiegów zgodnie z wymogami standardu.</w:t>
      </w:r>
    </w:p>
    <w:p w:rsidR="00CF395F" w:rsidRPr="0020723B" w:rsidRDefault="00CF395F" w:rsidP="00CF395F">
      <w:pPr>
        <w:pStyle w:val="Tekstpodstawowy"/>
        <w:spacing w:before="3"/>
        <w:rPr>
          <w:rFonts w:ascii="Calibri" w:hAnsi="Calibri" w:cs="Arial"/>
          <w:sz w:val="22"/>
        </w:rPr>
      </w:pPr>
    </w:p>
    <w:p w:rsidR="00CF395F" w:rsidRPr="0020723B" w:rsidRDefault="00CF395F" w:rsidP="00CF395F">
      <w:pPr>
        <w:pStyle w:val="Heading9"/>
        <w:spacing w:before="1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0,75</w:t>
      </w:r>
    </w:p>
    <w:p w:rsidR="00427D73" w:rsidRDefault="00CF395F"/>
    <w:sectPr w:rsidR="00427D73" w:rsidSect="00A953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ahoma">
    <w:altName w:val="Tahoma"/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altName w:val="Arial"/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9F0DD0"/>
    <w:multiLevelType w:val="hybridMultilevel"/>
    <w:tmpl w:val="4364B19C"/>
    <w:lvl w:ilvl="0" w:tplc="4592579E">
      <w:start w:val="1"/>
      <w:numFmt w:val="decimal"/>
      <w:lvlText w:val="%1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1" w:tplc="D7848B1C">
      <w:numFmt w:val="bullet"/>
      <w:lvlText w:val="•"/>
      <w:lvlJc w:val="left"/>
      <w:pPr>
        <w:ind w:left="2954" w:hanging="344"/>
      </w:pPr>
      <w:rPr>
        <w:rFonts w:hint="default"/>
        <w:lang w:val="pl-PL" w:eastAsia="en-US" w:bidi="ar-SA"/>
      </w:rPr>
    </w:lvl>
    <w:lvl w:ilvl="2" w:tplc="5516A350">
      <w:numFmt w:val="bullet"/>
      <w:lvlText w:val="•"/>
      <w:lvlJc w:val="left"/>
      <w:pPr>
        <w:ind w:left="3728" w:hanging="344"/>
      </w:pPr>
      <w:rPr>
        <w:rFonts w:hint="default"/>
        <w:lang w:val="pl-PL" w:eastAsia="en-US" w:bidi="ar-SA"/>
      </w:rPr>
    </w:lvl>
    <w:lvl w:ilvl="3" w:tplc="E336515C">
      <w:numFmt w:val="bullet"/>
      <w:lvlText w:val="•"/>
      <w:lvlJc w:val="left"/>
      <w:pPr>
        <w:ind w:left="4502" w:hanging="344"/>
      </w:pPr>
      <w:rPr>
        <w:rFonts w:hint="default"/>
        <w:lang w:val="pl-PL" w:eastAsia="en-US" w:bidi="ar-SA"/>
      </w:rPr>
    </w:lvl>
    <w:lvl w:ilvl="4" w:tplc="9CAAD1C8">
      <w:numFmt w:val="bullet"/>
      <w:lvlText w:val="•"/>
      <w:lvlJc w:val="left"/>
      <w:pPr>
        <w:ind w:left="5276" w:hanging="344"/>
      </w:pPr>
      <w:rPr>
        <w:rFonts w:hint="default"/>
        <w:lang w:val="pl-PL" w:eastAsia="en-US" w:bidi="ar-SA"/>
      </w:rPr>
    </w:lvl>
    <w:lvl w:ilvl="5" w:tplc="5F083CA6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6" w:tplc="0900BFD4">
      <w:numFmt w:val="bullet"/>
      <w:lvlText w:val="•"/>
      <w:lvlJc w:val="left"/>
      <w:pPr>
        <w:ind w:left="6824" w:hanging="344"/>
      </w:pPr>
      <w:rPr>
        <w:rFonts w:hint="default"/>
        <w:lang w:val="pl-PL" w:eastAsia="en-US" w:bidi="ar-SA"/>
      </w:rPr>
    </w:lvl>
    <w:lvl w:ilvl="7" w:tplc="DCAEC028">
      <w:numFmt w:val="bullet"/>
      <w:lvlText w:val="•"/>
      <w:lvlJc w:val="left"/>
      <w:pPr>
        <w:ind w:left="7599" w:hanging="344"/>
      </w:pPr>
      <w:rPr>
        <w:rFonts w:hint="default"/>
        <w:lang w:val="pl-PL" w:eastAsia="en-US" w:bidi="ar-SA"/>
      </w:rPr>
    </w:lvl>
    <w:lvl w:ilvl="8" w:tplc="4A32C9FE">
      <w:numFmt w:val="bullet"/>
      <w:lvlText w:val="•"/>
      <w:lvlJc w:val="left"/>
      <w:pPr>
        <w:ind w:left="8373" w:hanging="344"/>
      </w:pPr>
      <w:rPr>
        <w:rFonts w:hint="default"/>
        <w:lang w:val="pl-PL" w:eastAsia="en-US" w:bidi="ar-SA"/>
      </w:rPr>
    </w:lvl>
  </w:abstractNum>
  <w:abstractNum w:abstractNumId="1">
    <w:nsid w:val="24481FD0"/>
    <w:multiLevelType w:val="hybridMultilevel"/>
    <w:tmpl w:val="60D2BCD8"/>
    <w:lvl w:ilvl="0" w:tplc="48B257A8">
      <w:start w:val="1"/>
      <w:numFmt w:val="decimal"/>
      <w:lvlText w:val="%1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1" w:tplc="4670B8C2">
      <w:numFmt w:val="bullet"/>
      <w:lvlText w:val="•"/>
      <w:lvlJc w:val="left"/>
      <w:pPr>
        <w:ind w:left="2954" w:hanging="344"/>
      </w:pPr>
      <w:rPr>
        <w:rFonts w:hint="default"/>
        <w:lang w:val="pl-PL" w:eastAsia="en-US" w:bidi="ar-SA"/>
      </w:rPr>
    </w:lvl>
    <w:lvl w:ilvl="2" w:tplc="A26461E6">
      <w:numFmt w:val="bullet"/>
      <w:lvlText w:val="•"/>
      <w:lvlJc w:val="left"/>
      <w:pPr>
        <w:ind w:left="3728" w:hanging="344"/>
      </w:pPr>
      <w:rPr>
        <w:rFonts w:hint="default"/>
        <w:lang w:val="pl-PL" w:eastAsia="en-US" w:bidi="ar-SA"/>
      </w:rPr>
    </w:lvl>
    <w:lvl w:ilvl="3" w:tplc="44F2765A">
      <w:numFmt w:val="bullet"/>
      <w:lvlText w:val="•"/>
      <w:lvlJc w:val="left"/>
      <w:pPr>
        <w:ind w:left="4502" w:hanging="344"/>
      </w:pPr>
      <w:rPr>
        <w:rFonts w:hint="default"/>
        <w:lang w:val="pl-PL" w:eastAsia="en-US" w:bidi="ar-SA"/>
      </w:rPr>
    </w:lvl>
    <w:lvl w:ilvl="4" w:tplc="E004965C">
      <w:numFmt w:val="bullet"/>
      <w:lvlText w:val="•"/>
      <w:lvlJc w:val="left"/>
      <w:pPr>
        <w:ind w:left="5276" w:hanging="344"/>
      </w:pPr>
      <w:rPr>
        <w:rFonts w:hint="default"/>
        <w:lang w:val="pl-PL" w:eastAsia="en-US" w:bidi="ar-SA"/>
      </w:rPr>
    </w:lvl>
    <w:lvl w:ilvl="5" w:tplc="BD667900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6" w:tplc="68F874A4">
      <w:numFmt w:val="bullet"/>
      <w:lvlText w:val="•"/>
      <w:lvlJc w:val="left"/>
      <w:pPr>
        <w:ind w:left="6824" w:hanging="344"/>
      </w:pPr>
      <w:rPr>
        <w:rFonts w:hint="default"/>
        <w:lang w:val="pl-PL" w:eastAsia="en-US" w:bidi="ar-SA"/>
      </w:rPr>
    </w:lvl>
    <w:lvl w:ilvl="7" w:tplc="4C84D2D6">
      <w:numFmt w:val="bullet"/>
      <w:lvlText w:val="•"/>
      <w:lvlJc w:val="left"/>
      <w:pPr>
        <w:ind w:left="7599" w:hanging="344"/>
      </w:pPr>
      <w:rPr>
        <w:rFonts w:hint="default"/>
        <w:lang w:val="pl-PL" w:eastAsia="en-US" w:bidi="ar-SA"/>
      </w:rPr>
    </w:lvl>
    <w:lvl w:ilvl="8" w:tplc="166EFA92">
      <w:numFmt w:val="bullet"/>
      <w:lvlText w:val="•"/>
      <w:lvlJc w:val="left"/>
      <w:pPr>
        <w:ind w:left="8373" w:hanging="344"/>
      </w:pPr>
      <w:rPr>
        <w:rFonts w:hint="default"/>
        <w:lang w:val="pl-PL" w:eastAsia="en-US" w:bidi="ar-SA"/>
      </w:rPr>
    </w:lvl>
  </w:abstractNum>
  <w:abstractNum w:abstractNumId="2">
    <w:nsid w:val="463B186F"/>
    <w:multiLevelType w:val="hybridMultilevel"/>
    <w:tmpl w:val="3D7E9C96"/>
    <w:lvl w:ilvl="0" w:tplc="D2383B58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142C2AD2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257ED8D0">
      <w:start w:val="1"/>
      <w:numFmt w:val="decimal"/>
      <w:lvlText w:val="%3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3" w:tplc="4AC6EEEE">
      <w:numFmt w:val="bullet"/>
      <w:lvlText w:val="•"/>
      <w:lvlJc w:val="left"/>
      <w:pPr>
        <w:ind w:left="3147" w:hanging="344"/>
      </w:pPr>
      <w:rPr>
        <w:rFonts w:hint="default"/>
        <w:lang w:val="pl-PL" w:eastAsia="en-US" w:bidi="ar-SA"/>
      </w:rPr>
    </w:lvl>
    <w:lvl w:ilvl="4" w:tplc="D80AB4BE">
      <w:numFmt w:val="bullet"/>
      <w:lvlText w:val="•"/>
      <w:lvlJc w:val="left"/>
      <w:pPr>
        <w:ind w:left="4115" w:hanging="344"/>
      </w:pPr>
      <w:rPr>
        <w:rFonts w:hint="default"/>
        <w:lang w:val="pl-PL" w:eastAsia="en-US" w:bidi="ar-SA"/>
      </w:rPr>
    </w:lvl>
    <w:lvl w:ilvl="5" w:tplc="4F0A82D6">
      <w:numFmt w:val="bullet"/>
      <w:lvlText w:val="•"/>
      <w:lvlJc w:val="left"/>
      <w:pPr>
        <w:ind w:left="5083" w:hanging="344"/>
      </w:pPr>
      <w:rPr>
        <w:rFonts w:hint="default"/>
        <w:lang w:val="pl-PL" w:eastAsia="en-US" w:bidi="ar-SA"/>
      </w:rPr>
    </w:lvl>
    <w:lvl w:ilvl="6" w:tplc="C464E81C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7" w:tplc="F6A81628">
      <w:numFmt w:val="bullet"/>
      <w:lvlText w:val="•"/>
      <w:lvlJc w:val="left"/>
      <w:pPr>
        <w:ind w:left="7018" w:hanging="344"/>
      </w:pPr>
      <w:rPr>
        <w:rFonts w:hint="default"/>
        <w:lang w:val="pl-PL" w:eastAsia="en-US" w:bidi="ar-SA"/>
      </w:rPr>
    </w:lvl>
    <w:lvl w:ilvl="8" w:tplc="42A4FCE6">
      <w:numFmt w:val="bullet"/>
      <w:lvlText w:val="•"/>
      <w:lvlJc w:val="left"/>
      <w:pPr>
        <w:ind w:left="7986" w:hanging="344"/>
      </w:pPr>
      <w:rPr>
        <w:rFonts w:hint="default"/>
        <w:lang w:val="pl-PL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proofState w:spelling="clean"/>
  <w:defaultTabStop w:val="708"/>
  <w:hyphenationZone w:val="425"/>
  <w:characterSpacingControl w:val="doNotCompress"/>
  <w:compat/>
  <w:rsids>
    <w:rsidRoot w:val="00CF395F"/>
    <w:rsid w:val="000745AD"/>
    <w:rsid w:val="00682510"/>
    <w:rsid w:val="00A95332"/>
    <w:rsid w:val="00CF39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CF395F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CF395F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CF395F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CF395F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CF395F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CF395F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CF395F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497</Words>
  <Characters>2986</Characters>
  <Application>Microsoft Office Word</Application>
  <DocSecurity>0</DocSecurity>
  <Lines>24</Lines>
  <Paragraphs>6</Paragraphs>
  <ScaleCrop>false</ScaleCrop>
  <Company/>
  <LinksUpToDate>false</LinksUpToDate>
  <CharactersWithSpaces>3477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1</cp:revision>
  <dcterms:created xsi:type="dcterms:W3CDTF">2025-08-01T09:20:00Z</dcterms:created>
  <dcterms:modified xsi:type="dcterms:W3CDTF">2025-08-01T09:20:00Z</dcterms:modified>
</cp:coreProperties>
</file>