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752" w:rsidRPr="0020723B" w:rsidRDefault="00A84752" w:rsidP="00A84752">
      <w:pPr>
        <w:pStyle w:val="Heading4"/>
        <w:spacing w:line="357" w:lineRule="exact"/>
        <w:ind w:left="1275"/>
        <w:rPr>
          <w:rFonts w:ascii="Calibri" w:hAnsi="Calibri" w:cs="Arial"/>
          <w:sz w:val="22"/>
          <w:szCs w:val="20"/>
        </w:rPr>
      </w:pPr>
      <w:r>
        <w:rPr>
          <w:rFonts w:ascii="Calibri" w:hAnsi="Calibri" w:cs="Arial"/>
          <w:sz w:val="22"/>
          <w:szCs w:val="20"/>
        </w:rPr>
        <w:pict>
          <v:shapetype id="_x0000_t202" coordsize="21600,21600" o:spt="202" path="m,l,21600r21600,l21600,xe">
            <v:stroke joinstyle="miter"/>
            <v:path gradientshapeok="t" o:connecttype="rect"/>
          </v:shapetype>
          <v:shape id="docshape1923" o:spid="_x0000_s1026" type="#_x0000_t202" style="position:absolute;left:0;text-align:left;margin-left:56.7pt;margin-top:-8.25pt;width:45.4pt;height:64.7pt;z-index:251660288;mso-position-horizontal-relative:page" fillcolor="#bee3eb" stroked="f">
            <v:textbox inset="0,0,0,0">
              <w:txbxContent>
                <w:p w:rsidR="00A84752" w:rsidRDefault="00A84752" w:rsidP="00A84752">
                  <w:pPr>
                    <w:pStyle w:val="Tekstpodstawowy"/>
                    <w:spacing w:before="209"/>
                    <w:rPr>
                      <w:color w:val="000000"/>
                      <w:sz w:val="24"/>
                    </w:rPr>
                  </w:pPr>
                </w:p>
                <w:p w:rsidR="00A84752" w:rsidRPr="00A84752" w:rsidRDefault="00A84752" w:rsidP="00A84752">
                  <w:pPr>
                    <w:spacing w:before="1"/>
                    <w:ind w:left="202"/>
                    <w:rPr>
                      <w:rFonts w:ascii="Arial Black"/>
                      <w:color w:val="000000"/>
                      <w:sz w:val="24"/>
                    </w:rPr>
                  </w:pPr>
                  <w:r w:rsidRPr="00A84752">
                    <w:rPr>
                      <w:rFonts w:ascii="Arial Black"/>
                      <w:color w:val="072160"/>
                      <w:w w:val="85"/>
                      <w:sz w:val="24"/>
                    </w:rPr>
                    <w:t>PJ</w:t>
                  </w:r>
                  <w:r w:rsidRPr="00A84752">
                    <w:rPr>
                      <w:rFonts w:ascii="Arial Black"/>
                      <w:color w:val="072160"/>
                      <w:spacing w:val="-15"/>
                      <w:w w:val="85"/>
                      <w:sz w:val="24"/>
                    </w:rPr>
                    <w:t xml:space="preserve"> </w:t>
                  </w:r>
                  <w:r w:rsidRPr="00A84752">
                    <w:rPr>
                      <w:rFonts w:ascii="Arial Black"/>
                      <w:color w:val="072160"/>
                      <w:spacing w:val="-10"/>
                      <w:sz w:val="24"/>
                    </w:rPr>
                    <w:t>4</w:t>
                  </w:r>
                </w:p>
              </w:txbxContent>
            </v:textbox>
            <w10:wrap anchorx="page"/>
          </v:shape>
        </w:pict>
      </w:r>
      <w:r w:rsidRPr="0020723B">
        <w:rPr>
          <w:rFonts w:ascii="Calibri" w:hAnsi="Calibri" w:cs="Arial"/>
          <w:color w:val="072160"/>
          <w:sz w:val="22"/>
          <w:szCs w:val="20"/>
        </w:rPr>
        <w:t>SZPITAL ANALIZUJE PRZYCZYNY</w:t>
      </w:r>
    </w:p>
    <w:p w:rsidR="00A84752" w:rsidRPr="0020723B" w:rsidRDefault="00A84752" w:rsidP="00A84752">
      <w:pPr>
        <w:pStyle w:val="Heading4"/>
        <w:spacing w:before="21" w:line="194" w:lineRule="auto"/>
        <w:ind w:left="1275" w:right="2077"/>
        <w:rPr>
          <w:rFonts w:ascii="Calibri" w:hAnsi="Calibri" w:cs="Arial"/>
          <w:sz w:val="22"/>
          <w:szCs w:val="20"/>
        </w:rPr>
      </w:pPr>
      <w:r w:rsidRPr="0020723B">
        <w:rPr>
          <w:rFonts w:ascii="Calibri" w:hAnsi="Calibri" w:cs="Arial"/>
          <w:color w:val="072160"/>
          <w:sz w:val="22"/>
          <w:szCs w:val="20"/>
        </w:rPr>
        <w:t>PRZEDŁUŻONEGO POBYTU PACJENTÓW (STANDARD MOŻE BYĆ WYŁĄCZONY).</w:t>
      </w:r>
    </w:p>
    <w:p w:rsidR="00A84752" w:rsidRPr="0020723B" w:rsidRDefault="00A84752" w:rsidP="00A84752">
      <w:pPr>
        <w:pStyle w:val="Heading6"/>
        <w:numPr>
          <w:ilvl w:val="0"/>
          <w:numId w:val="1"/>
        </w:numPr>
        <w:tabs>
          <w:tab w:val="left" w:pos="1275"/>
        </w:tabs>
        <w:spacing w:before="392"/>
        <w:ind w:hanging="424"/>
        <w:jc w:val="left"/>
        <w:rPr>
          <w:rFonts w:ascii="Calibri" w:hAnsi="Calibri" w:cs="Arial"/>
          <w:sz w:val="22"/>
          <w:szCs w:val="20"/>
        </w:rPr>
      </w:pPr>
      <w:r w:rsidRPr="0020723B">
        <w:rPr>
          <w:rFonts w:ascii="Calibri" w:hAnsi="Calibri" w:cs="Arial"/>
          <w:color w:val="072160"/>
          <w:sz w:val="22"/>
          <w:szCs w:val="20"/>
        </w:rPr>
        <w:t>Opis wymagań</w:t>
      </w:r>
    </w:p>
    <w:p w:rsidR="00A84752" w:rsidRPr="0020723B" w:rsidRDefault="00A84752" w:rsidP="00A84752">
      <w:pPr>
        <w:pStyle w:val="Tekstpodstawowy"/>
        <w:spacing w:before="218" w:line="247" w:lineRule="auto"/>
        <w:ind w:left="1275" w:right="695"/>
        <w:rPr>
          <w:rFonts w:ascii="Calibri" w:hAnsi="Calibri" w:cs="Arial"/>
          <w:sz w:val="22"/>
        </w:rPr>
      </w:pPr>
      <w:r w:rsidRPr="0020723B">
        <w:rPr>
          <w:rFonts w:ascii="Calibri" w:hAnsi="Calibri" w:cs="Arial"/>
          <w:sz w:val="22"/>
        </w:rPr>
        <w:t>W odniesieniu do przyjęć planowych należy zakładać standardowy czas pobytu w oddziale szpitalnym. Celem oceny przedłużonych pobytów jest określenie przyczyn wydłużenia pobytu pacjentów, których hospitalizacja trwa co najmniej dwukrotnie dłużej niż standardowy pobyt dla danej jednostki chorobowej, planowanego zabiegu lub planowanego postępowania diagnostycznego.</w:t>
      </w:r>
    </w:p>
    <w:p w:rsidR="00A84752" w:rsidRPr="0020723B" w:rsidRDefault="00A84752" w:rsidP="00A84752">
      <w:pPr>
        <w:pStyle w:val="Tekstpodstawowy"/>
        <w:spacing w:before="12"/>
        <w:rPr>
          <w:rFonts w:ascii="Calibri" w:hAnsi="Calibri" w:cs="Arial"/>
          <w:sz w:val="22"/>
        </w:rPr>
      </w:pPr>
    </w:p>
    <w:p w:rsidR="00A84752" w:rsidRPr="0020723B" w:rsidRDefault="00A84752" w:rsidP="00A84752">
      <w:pPr>
        <w:pStyle w:val="Tekstpodstawowy"/>
        <w:spacing w:line="230" w:lineRule="exact"/>
        <w:ind w:left="1275"/>
        <w:rPr>
          <w:rFonts w:ascii="Calibri" w:hAnsi="Calibri" w:cs="Arial"/>
          <w:sz w:val="22"/>
        </w:rPr>
      </w:pPr>
      <w:r w:rsidRPr="0020723B">
        <w:rPr>
          <w:rFonts w:ascii="Calibri" w:hAnsi="Calibri" w:cs="Arial"/>
          <w:sz w:val="22"/>
        </w:rPr>
        <w:t>W oparciu o swoje doświadczenie kliniczne, kierujący oddziałami:</w:t>
      </w:r>
    </w:p>
    <w:p w:rsidR="00A84752" w:rsidRPr="0020723B" w:rsidRDefault="00A84752" w:rsidP="00A84752">
      <w:pPr>
        <w:pStyle w:val="Akapitzlist"/>
        <w:numPr>
          <w:ilvl w:val="1"/>
          <w:numId w:val="1"/>
        </w:numPr>
        <w:tabs>
          <w:tab w:val="left" w:pos="1560"/>
        </w:tabs>
        <w:spacing w:line="247" w:lineRule="auto"/>
        <w:ind w:left="1560" w:right="706" w:hanging="289"/>
        <w:rPr>
          <w:rFonts w:ascii="Calibri" w:hAnsi="Calibri" w:cs="Arial"/>
          <w:szCs w:val="20"/>
        </w:rPr>
      </w:pPr>
      <w:r w:rsidRPr="0020723B">
        <w:rPr>
          <w:rFonts w:ascii="Calibri" w:hAnsi="Calibri" w:cs="Arial"/>
          <w:szCs w:val="20"/>
        </w:rPr>
        <w:t>zachowawczymi powinni zdefiniować standardowy czas pobyt</w:t>
      </w:r>
      <w:r>
        <w:rPr>
          <w:rFonts w:ascii="Calibri" w:hAnsi="Calibri" w:cs="Arial"/>
          <w:szCs w:val="20"/>
        </w:rPr>
        <w:t>u przynajmniej dla trzech, naj</w:t>
      </w:r>
      <w:r w:rsidRPr="0020723B">
        <w:rPr>
          <w:rFonts w:ascii="Calibri" w:hAnsi="Calibri" w:cs="Arial"/>
          <w:szCs w:val="20"/>
        </w:rPr>
        <w:t>częściej leczonych jednostek chorobowych lub planowanych postępowań diagnostycznych;</w:t>
      </w:r>
    </w:p>
    <w:p w:rsidR="00A84752" w:rsidRPr="0020723B" w:rsidRDefault="00A84752" w:rsidP="00A84752">
      <w:pPr>
        <w:pStyle w:val="Akapitzlist"/>
        <w:numPr>
          <w:ilvl w:val="1"/>
          <w:numId w:val="1"/>
        </w:numPr>
        <w:tabs>
          <w:tab w:val="left" w:pos="1615"/>
        </w:tabs>
        <w:spacing w:line="247" w:lineRule="auto"/>
        <w:ind w:left="1560" w:right="706" w:hanging="289"/>
        <w:rPr>
          <w:rFonts w:ascii="Calibri" w:hAnsi="Calibri" w:cs="Arial"/>
          <w:szCs w:val="20"/>
        </w:rPr>
      </w:pPr>
      <w:r w:rsidRPr="0020723B">
        <w:rPr>
          <w:rFonts w:ascii="Calibri" w:hAnsi="Calibri" w:cs="Arial"/>
          <w:szCs w:val="20"/>
        </w:rPr>
        <w:t xml:space="preserve">zabiegowymi powinni zdefiniować standardowy czas pobytu </w:t>
      </w:r>
      <w:r>
        <w:rPr>
          <w:rFonts w:ascii="Calibri" w:hAnsi="Calibri" w:cs="Arial"/>
          <w:szCs w:val="20"/>
        </w:rPr>
        <w:t>przynajmniej dla trzech najczę</w:t>
      </w:r>
      <w:r w:rsidRPr="0020723B">
        <w:rPr>
          <w:rFonts w:ascii="Calibri" w:hAnsi="Calibri" w:cs="Arial"/>
          <w:szCs w:val="20"/>
        </w:rPr>
        <w:t>ściej wykonywanych zabiegów operacyjnych lub interwencyjnych.</w:t>
      </w:r>
    </w:p>
    <w:p w:rsidR="00A84752" w:rsidRPr="0020723B" w:rsidRDefault="00A84752" w:rsidP="00A84752">
      <w:pPr>
        <w:pStyle w:val="Tekstpodstawowy"/>
        <w:spacing w:before="228" w:line="247" w:lineRule="auto"/>
        <w:ind w:left="1275" w:right="706"/>
        <w:rPr>
          <w:rFonts w:ascii="Calibri" w:hAnsi="Calibri" w:cs="Arial"/>
          <w:sz w:val="22"/>
        </w:rPr>
      </w:pPr>
      <w:r w:rsidRPr="0020723B">
        <w:rPr>
          <w:rFonts w:ascii="Calibri" w:hAnsi="Calibri" w:cs="Arial"/>
          <w:sz w:val="22"/>
        </w:rPr>
        <w:t>Przedłużone pobyty powinny być analizowane przynajmniej dwa razy w roku, z uwzględnieniem wyników klinicznych i skutków ekonomicznych. Z oceny wyłącza się oddziały intensywnej terapii</w:t>
      </w:r>
    </w:p>
    <w:p w:rsidR="00A84752" w:rsidRPr="0020723B" w:rsidRDefault="00A84752" w:rsidP="00A84752">
      <w:pPr>
        <w:pStyle w:val="Tekstpodstawowy"/>
        <w:spacing w:before="91" w:line="247" w:lineRule="auto"/>
        <w:ind w:left="1276"/>
        <w:rPr>
          <w:rFonts w:ascii="Calibri" w:hAnsi="Calibri" w:cs="Arial"/>
          <w:sz w:val="22"/>
        </w:rPr>
      </w:pPr>
      <w:r>
        <w:rPr>
          <w:rFonts w:ascii="Calibri" w:hAnsi="Calibri" w:cs="Arial"/>
          <w:sz w:val="22"/>
        </w:rPr>
        <w:pict>
          <v:shape id="docshape1924" o:spid="_x0000_s1027" type="#_x0000_t202" style="position:absolute;left:0;text-align:left;margin-left:568.95pt;margin-top:569.35pt;width:24.4pt;height:49.95pt;z-index:251661312;mso-position-horizontal-relative:page;mso-position-vertical-relative:page" filled="f" stroked="f">
            <v:textbox style="layout-flow:vertical" inset="0,0,0,0">
              <w:txbxContent>
                <w:p w:rsidR="00A84752" w:rsidRDefault="00A84752" w:rsidP="00A84752">
                  <w:pPr>
                    <w:tabs>
                      <w:tab w:val="left" w:pos="978"/>
                    </w:tabs>
                    <w:spacing w:before="4"/>
                    <w:ind w:left="20"/>
                    <w:rPr>
                      <w:rFonts w:ascii="Arial Black"/>
                      <w:sz w:val="32"/>
                    </w:rPr>
                  </w:pPr>
                  <w:r>
                    <w:rPr>
                      <w:rFonts w:ascii="Arial Black"/>
                      <w:color w:val="FFFFFF"/>
                      <w:spacing w:val="31"/>
                      <w:sz w:val="32"/>
                      <w:shd w:val="clear" w:color="auto" w:fill="072160"/>
                    </w:rPr>
                    <w:t xml:space="preserve">  </w:t>
                  </w:r>
                  <w:r>
                    <w:rPr>
                      <w:rFonts w:ascii="Arial Black"/>
                      <w:color w:val="FFFFFF"/>
                      <w:spacing w:val="-5"/>
                      <w:w w:val="95"/>
                      <w:sz w:val="32"/>
                      <w:shd w:val="clear" w:color="auto" w:fill="072160"/>
                    </w:rPr>
                    <w:t>PJ</w:t>
                  </w:r>
                  <w:r>
                    <w:rPr>
                      <w:rFonts w:ascii="Arial Black"/>
                      <w:color w:val="FFFFFF"/>
                      <w:sz w:val="32"/>
                      <w:shd w:val="clear" w:color="auto" w:fill="072160"/>
                    </w:rPr>
                    <w:tab/>
                  </w:r>
                </w:p>
              </w:txbxContent>
            </v:textbox>
            <w10:wrap anchorx="page" anchory="page"/>
          </v:shape>
        </w:pict>
      </w:r>
      <w:r w:rsidRPr="0020723B">
        <w:rPr>
          <w:rFonts w:ascii="Calibri" w:hAnsi="Calibri" w:cs="Arial"/>
          <w:sz w:val="22"/>
        </w:rPr>
        <w:t>i medycyny paliatywnej. Wnioski, wynikające z oceny przedłużonych pobytów powinny być znane kierującym oddziałami oraz kierownictwu szpitala.</w:t>
      </w:r>
    </w:p>
    <w:p w:rsidR="00A84752" w:rsidRPr="0020723B" w:rsidRDefault="00A84752" w:rsidP="00A84752">
      <w:pPr>
        <w:pStyle w:val="Heading6"/>
        <w:numPr>
          <w:ilvl w:val="0"/>
          <w:numId w:val="1"/>
        </w:numPr>
        <w:tabs>
          <w:tab w:val="left" w:pos="1276"/>
        </w:tabs>
        <w:spacing w:before="166"/>
        <w:ind w:left="1841" w:hanging="990"/>
        <w:jc w:val="left"/>
        <w:rPr>
          <w:rFonts w:ascii="Calibri" w:hAnsi="Calibri" w:cs="Arial"/>
          <w:sz w:val="22"/>
          <w:szCs w:val="20"/>
        </w:rPr>
      </w:pPr>
      <w:r w:rsidRPr="0020723B">
        <w:rPr>
          <w:rFonts w:ascii="Calibri" w:hAnsi="Calibri" w:cs="Arial"/>
          <w:color w:val="072160"/>
          <w:sz w:val="22"/>
          <w:szCs w:val="20"/>
        </w:rPr>
        <w:t>Sposób sprawdzenia</w:t>
      </w:r>
    </w:p>
    <w:p w:rsidR="00A84752" w:rsidRPr="0020723B" w:rsidRDefault="00A84752" w:rsidP="00A84752">
      <w:pPr>
        <w:pStyle w:val="Akapitzlist"/>
        <w:numPr>
          <w:ilvl w:val="1"/>
          <w:numId w:val="1"/>
        </w:numPr>
        <w:tabs>
          <w:tab w:val="left" w:pos="1560"/>
        </w:tabs>
        <w:spacing w:before="205" w:line="242" w:lineRule="exact"/>
        <w:ind w:left="2181" w:hanging="905"/>
        <w:rPr>
          <w:rFonts w:ascii="Calibri" w:hAnsi="Calibri" w:cs="Arial"/>
          <w:szCs w:val="20"/>
        </w:rPr>
      </w:pPr>
      <w:r w:rsidRPr="0020723B">
        <w:rPr>
          <w:rFonts w:ascii="Calibri" w:hAnsi="Calibri" w:cs="Arial"/>
          <w:szCs w:val="20"/>
        </w:rPr>
        <w:t>przegląd dokumentacji szpitala;</w:t>
      </w:r>
    </w:p>
    <w:p w:rsidR="00A84752" w:rsidRPr="0020723B" w:rsidRDefault="00A84752" w:rsidP="00A84752">
      <w:pPr>
        <w:pStyle w:val="Akapitzlist"/>
        <w:numPr>
          <w:ilvl w:val="1"/>
          <w:numId w:val="1"/>
        </w:numPr>
        <w:tabs>
          <w:tab w:val="left" w:pos="1560"/>
        </w:tabs>
        <w:ind w:left="2181" w:hanging="905"/>
        <w:rPr>
          <w:rFonts w:ascii="Calibri" w:hAnsi="Calibri" w:cs="Arial"/>
          <w:szCs w:val="20"/>
        </w:rPr>
      </w:pPr>
      <w:r w:rsidRPr="0020723B">
        <w:rPr>
          <w:rFonts w:ascii="Calibri" w:hAnsi="Calibri" w:cs="Arial"/>
          <w:szCs w:val="20"/>
        </w:rPr>
        <w:t>wywiad z kierującymi oddziałami;</w:t>
      </w:r>
    </w:p>
    <w:p w:rsidR="00A84752" w:rsidRPr="0020723B" w:rsidRDefault="00A84752" w:rsidP="00A84752">
      <w:pPr>
        <w:pStyle w:val="Akapitzlist"/>
        <w:numPr>
          <w:ilvl w:val="1"/>
          <w:numId w:val="1"/>
        </w:numPr>
        <w:tabs>
          <w:tab w:val="left" w:pos="1560"/>
        </w:tabs>
        <w:spacing w:line="242" w:lineRule="exact"/>
        <w:ind w:left="2181" w:hanging="905"/>
        <w:rPr>
          <w:rFonts w:ascii="Calibri" w:hAnsi="Calibri" w:cs="Arial"/>
          <w:szCs w:val="20"/>
        </w:rPr>
      </w:pPr>
      <w:r w:rsidRPr="0020723B">
        <w:rPr>
          <w:rFonts w:ascii="Calibri" w:hAnsi="Calibri" w:cs="Arial"/>
          <w:szCs w:val="20"/>
        </w:rPr>
        <w:t>wywiad z zespołem ds. jakości.</w:t>
      </w:r>
    </w:p>
    <w:p w:rsidR="00A84752" w:rsidRPr="0020723B" w:rsidRDefault="00A84752" w:rsidP="00A84752">
      <w:pPr>
        <w:pStyle w:val="Heading6"/>
        <w:numPr>
          <w:ilvl w:val="0"/>
          <w:numId w:val="1"/>
        </w:numPr>
        <w:tabs>
          <w:tab w:val="left" w:pos="1276"/>
        </w:tabs>
        <w:spacing w:before="172"/>
        <w:ind w:left="1841" w:hanging="990"/>
        <w:jc w:val="left"/>
        <w:rPr>
          <w:rFonts w:ascii="Calibri" w:hAnsi="Calibri" w:cs="Arial"/>
          <w:sz w:val="22"/>
          <w:szCs w:val="20"/>
        </w:rPr>
      </w:pPr>
      <w:r w:rsidRPr="0020723B">
        <w:rPr>
          <w:rFonts w:ascii="Calibri" w:hAnsi="Calibri" w:cs="Arial"/>
          <w:color w:val="072160"/>
          <w:sz w:val="22"/>
          <w:szCs w:val="20"/>
        </w:rPr>
        <w:t>Ocena punktowa</w:t>
      </w:r>
    </w:p>
    <w:p w:rsidR="00A84752" w:rsidRPr="0020723B" w:rsidRDefault="00A84752" w:rsidP="00A84752">
      <w:pPr>
        <w:pStyle w:val="Tekstpodstawowy"/>
        <w:tabs>
          <w:tab w:val="left" w:pos="2182"/>
        </w:tabs>
        <w:spacing w:before="205" w:line="242" w:lineRule="exact"/>
        <w:ind w:left="1560" w:hanging="284"/>
        <w:rPr>
          <w:rFonts w:ascii="Calibri" w:hAnsi="Calibri" w:cs="Arial"/>
          <w:sz w:val="22"/>
        </w:rPr>
      </w:pPr>
      <w:r w:rsidRPr="0020723B">
        <w:rPr>
          <w:rFonts w:ascii="Calibri" w:hAnsi="Calibri" w:cs="Arial"/>
          <w:color w:val="072160"/>
          <w:sz w:val="22"/>
        </w:rPr>
        <w:t>5</w:t>
      </w:r>
      <w:r w:rsidRPr="0020723B">
        <w:rPr>
          <w:rFonts w:ascii="Calibri" w:hAnsi="Calibri" w:cs="Arial"/>
          <w:color w:val="072160"/>
          <w:sz w:val="22"/>
        </w:rPr>
        <w:tab/>
      </w:r>
      <w:r w:rsidRPr="0020723B">
        <w:rPr>
          <w:rFonts w:ascii="Calibri" w:hAnsi="Calibri" w:cs="Arial"/>
          <w:sz w:val="22"/>
        </w:rPr>
        <w:t>Szpital analizuje przyczyny przedłużonego pobytu pacjentów zgodnie z wymogami standardu.</w:t>
      </w:r>
    </w:p>
    <w:p w:rsidR="00A84752" w:rsidRPr="0020723B" w:rsidRDefault="00A84752" w:rsidP="00A84752">
      <w:pPr>
        <w:pStyle w:val="Tekstpodstawowy"/>
        <w:tabs>
          <w:tab w:val="left" w:pos="2182"/>
        </w:tabs>
        <w:spacing w:line="242" w:lineRule="exact"/>
        <w:ind w:left="1560" w:hanging="284"/>
        <w:rPr>
          <w:rFonts w:ascii="Calibri" w:hAnsi="Calibri" w:cs="Arial"/>
          <w:sz w:val="22"/>
        </w:rPr>
      </w:pPr>
      <w:r w:rsidRPr="0020723B">
        <w:rPr>
          <w:rFonts w:ascii="Calibri" w:hAnsi="Calibri" w:cs="Arial"/>
          <w:color w:val="072160"/>
          <w:sz w:val="22"/>
        </w:rPr>
        <w:t>1</w:t>
      </w:r>
      <w:r w:rsidRPr="0020723B">
        <w:rPr>
          <w:rFonts w:ascii="Calibri" w:hAnsi="Calibri" w:cs="Arial"/>
          <w:color w:val="072160"/>
          <w:sz w:val="22"/>
        </w:rPr>
        <w:tab/>
      </w:r>
      <w:r w:rsidRPr="0020723B">
        <w:rPr>
          <w:rFonts w:ascii="Calibri" w:hAnsi="Calibri" w:cs="Arial"/>
          <w:sz w:val="22"/>
        </w:rPr>
        <w:t>Szpital nie analizuje przyczyn przedłużonego pobytu pacjentów zgodnie z wymogami standardu.</w:t>
      </w:r>
    </w:p>
    <w:p w:rsidR="00A84752" w:rsidRPr="0020723B" w:rsidRDefault="00A84752" w:rsidP="00A84752">
      <w:pPr>
        <w:pStyle w:val="Tekstpodstawowy"/>
        <w:spacing w:before="3"/>
        <w:rPr>
          <w:rFonts w:ascii="Calibri" w:hAnsi="Calibri" w:cs="Arial"/>
          <w:sz w:val="22"/>
        </w:rPr>
      </w:pPr>
    </w:p>
    <w:p w:rsidR="00A84752" w:rsidRPr="0020723B" w:rsidRDefault="00A84752" w:rsidP="00A84752">
      <w:pPr>
        <w:pStyle w:val="Heading9"/>
        <w:spacing w:before="1"/>
        <w:ind w:left="1276"/>
        <w:jc w:val="left"/>
        <w:rPr>
          <w:rFonts w:ascii="Calibri" w:hAnsi="Calibri" w:cs="Arial"/>
          <w:b w:val="0"/>
          <w:sz w:val="22"/>
        </w:rPr>
      </w:pPr>
      <w:r w:rsidRPr="0020723B">
        <w:rPr>
          <w:rFonts w:ascii="Calibri" w:hAnsi="Calibri" w:cs="Arial"/>
          <w:b w:val="0"/>
          <w:color w:val="072160"/>
          <w:sz w:val="22"/>
        </w:rPr>
        <w:t>Waga standardu – 0,75</w:t>
      </w:r>
    </w:p>
    <w:p w:rsidR="00427D73" w:rsidRDefault="00A84752"/>
    <w:sectPr w:rsidR="00427D73" w:rsidSect="0002303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Black">
    <w:panose1 w:val="020B0A04020102020204"/>
    <w:charset w:val="EE"/>
    <w:family w:val="swiss"/>
    <w:pitch w:val="variable"/>
    <w:sig w:usb0="A00002AF" w:usb1="400078FB" w:usb2="00000000" w:usb3="00000000" w:csb0="0000009F" w:csb1="00000000"/>
  </w:font>
  <w:font w:name="Tahoma">
    <w:panose1 w:val="020B0604030504040204"/>
    <w:charset w:val="EE"/>
    <w:family w:val="swiss"/>
    <w:pitch w:val="variable"/>
    <w:sig w:usb0="E1002EFF" w:usb1="C000605B" w:usb2="00000029" w:usb3="00000000" w:csb0="0001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C87BE0"/>
    <w:multiLevelType w:val="hybridMultilevel"/>
    <w:tmpl w:val="3740F186"/>
    <w:lvl w:ilvl="0" w:tplc="5A7E1100">
      <w:start w:val="1"/>
      <w:numFmt w:val="decimal"/>
      <w:lvlText w:val="%1."/>
      <w:lvlJc w:val="left"/>
      <w:pPr>
        <w:ind w:left="1275" w:hanging="329"/>
        <w:jc w:val="right"/>
      </w:pPr>
      <w:rPr>
        <w:rFonts w:ascii="Arial Black" w:eastAsia="Arial Black" w:hAnsi="Arial Black" w:cs="Arial Black" w:hint="default"/>
        <w:b w:val="0"/>
        <w:bCs w:val="0"/>
        <w:i w:val="0"/>
        <w:iCs w:val="0"/>
        <w:color w:val="072160"/>
        <w:spacing w:val="0"/>
        <w:w w:val="65"/>
        <w:sz w:val="24"/>
        <w:szCs w:val="24"/>
        <w:lang w:val="pl-PL" w:eastAsia="en-US" w:bidi="ar-SA"/>
      </w:rPr>
    </w:lvl>
    <w:lvl w:ilvl="1" w:tplc="77100CCE">
      <w:start w:val="1"/>
      <w:numFmt w:val="decimal"/>
      <w:lvlText w:val="%2)"/>
      <w:lvlJc w:val="left"/>
      <w:pPr>
        <w:ind w:left="1615" w:hanging="344"/>
      </w:pPr>
      <w:rPr>
        <w:rFonts w:ascii="Tahoma" w:eastAsia="Tahoma" w:hAnsi="Tahoma" w:cs="Tahoma" w:hint="default"/>
        <w:b/>
        <w:bCs/>
        <w:i w:val="0"/>
        <w:iCs w:val="0"/>
        <w:color w:val="072160"/>
        <w:spacing w:val="0"/>
        <w:w w:val="79"/>
        <w:sz w:val="20"/>
        <w:szCs w:val="20"/>
        <w:lang w:val="pl-PL" w:eastAsia="en-US" w:bidi="ar-SA"/>
      </w:rPr>
    </w:lvl>
    <w:lvl w:ilvl="2" w:tplc="792E709A">
      <w:numFmt w:val="bullet"/>
      <w:lvlText w:val="•"/>
      <w:lvlJc w:val="left"/>
      <w:pPr>
        <w:ind w:left="2180" w:hanging="344"/>
      </w:pPr>
      <w:rPr>
        <w:rFonts w:hint="default"/>
        <w:lang w:val="pl-PL" w:eastAsia="en-US" w:bidi="ar-SA"/>
      </w:rPr>
    </w:lvl>
    <w:lvl w:ilvl="3" w:tplc="3DF8E776">
      <w:numFmt w:val="bullet"/>
      <w:lvlText w:val="•"/>
      <w:lvlJc w:val="left"/>
      <w:pPr>
        <w:ind w:left="3147" w:hanging="344"/>
      </w:pPr>
      <w:rPr>
        <w:rFonts w:hint="default"/>
        <w:lang w:val="pl-PL" w:eastAsia="en-US" w:bidi="ar-SA"/>
      </w:rPr>
    </w:lvl>
    <w:lvl w:ilvl="4" w:tplc="5B2053B2">
      <w:numFmt w:val="bullet"/>
      <w:lvlText w:val="•"/>
      <w:lvlJc w:val="left"/>
      <w:pPr>
        <w:ind w:left="4115" w:hanging="344"/>
      </w:pPr>
      <w:rPr>
        <w:rFonts w:hint="default"/>
        <w:lang w:val="pl-PL" w:eastAsia="en-US" w:bidi="ar-SA"/>
      </w:rPr>
    </w:lvl>
    <w:lvl w:ilvl="5" w:tplc="342CD2D6">
      <w:numFmt w:val="bullet"/>
      <w:lvlText w:val="•"/>
      <w:lvlJc w:val="left"/>
      <w:pPr>
        <w:ind w:left="5083" w:hanging="344"/>
      </w:pPr>
      <w:rPr>
        <w:rFonts w:hint="default"/>
        <w:lang w:val="pl-PL" w:eastAsia="en-US" w:bidi="ar-SA"/>
      </w:rPr>
    </w:lvl>
    <w:lvl w:ilvl="6" w:tplc="1BD074B0">
      <w:numFmt w:val="bullet"/>
      <w:lvlText w:val="•"/>
      <w:lvlJc w:val="left"/>
      <w:pPr>
        <w:ind w:left="6050" w:hanging="344"/>
      </w:pPr>
      <w:rPr>
        <w:rFonts w:hint="default"/>
        <w:lang w:val="pl-PL" w:eastAsia="en-US" w:bidi="ar-SA"/>
      </w:rPr>
    </w:lvl>
    <w:lvl w:ilvl="7" w:tplc="23EEBD1E">
      <w:numFmt w:val="bullet"/>
      <w:lvlText w:val="•"/>
      <w:lvlJc w:val="left"/>
      <w:pPr>
        <w:ind w:left="7018" w:hanging="344"/>
      </w:pPr>
      <w:rPr>
        <w:rFonts w:hint="default"/>
        <w:lang w:val="pl-PL" w:eastAsia="en-US" w:bidi="ar-SA"/>
      </w:rPr>
    </w:lvl>
    <w:lvl w:ilvl="8" w:tplc="97BA26BC">
      <w:numFmt w:val="bullet"/>
      <w:lvlText w:val="•"/>
      <w:lvlJc w:val="left"/>
      <w:pPr>
        <w:ind w:left="7986" w:hanging="344"/>
      </w:pPr>
      <w:rPr>
        <w:rFonts w:hint="default"/>
        <w:lang w:val="pl-PL"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A84752"/>
    <w:rsid w:val="00023032"/>
    <w:rsid w:val="000745AD"/>
    <w:rsid w:val="00682510"/>
    <w:rsid w:val="00A84752"/>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A84752"/>
    <w:pPr>
      <w:widowControl w:val="0"/>
      <w:autoSpaceDE w:val="0"/>
      <w:autoSpaceDN w:val="0"/>
      <w:spacing w:after="0" w:line="240" w:lineRule="auto"/>
    </w:pPr>
    <w:rPr>
      <w:rFonts w:ascii="Trebuchet MS" w:eastAsia="Trebuchet MS" w:hAnsi="Trebuchet MS" w:cs="Trebuchet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A84752"/>
    <w:rPr>
      <w:sz w:val="20"/>
      <w:szCs w:val="20"/>
    </w:rPr>
  </w:style>
  <w:style w:type="character" w:customStyle="1" w:styleId="TekstpodstawowyZnak">
    <w:name w:val="Tekst podstawowy Znak"/>
    <w:basedOn w:val="Domylnaczcionkaakapitu"/>
    <w:link w:val="Tekstpodstawowy"/>
    <w:uiPriority w:val="1"/>
    <w:rsid w:val="00A84752"/>
    <w:rPr>
      <w:rFonts w:ascii="Trebuchet MS" w:eastAsia="Trebuchet MS" w:hAnsi="Trebuchet MS" w:cs="Trebuchet MS"/>
      <w:sz w:val="20"/>
      <w:szCs w:val="20"/>
    </w:rPr>
  </w:style>
  <w:style w:type="paragraph" w:customStyle="1" w:styleId="Heading4">
    <w:name w:val="Heading 4"/>
    <w:basedOn w:val="Normalny"/>
    <w:uiPriority w:val="1"/>
    <w:qFormat/>
    <w:rsid w:val="00A84752"/>
    <w:pPr>
      <w:ind w:left="1842"/>
      <w:outlineLvl w:val="4"/>
    </w:pPr>
    <w:rPr>
      <w:rFonts w:ascii="Arial Black" w:eastAsia="Arial Black" w:hAnsi="Arial Black" w:cs="Arial Black"/>
      <w:sz w:val="28"/>
      <w:szCs w:val="28"/>
    </w:rPr>
  </w:style>
  <w:style w:type="paragraph" w:customStyle="1" w:styleId="Heading6">
    <w:name w:val="Heading 6"/>
    <w:basedOn w:val="Normalny"/>
    <w:uiPriority w:val="1"/>
    <w:qFormat/>
    <w:rsid w:val="00A84752"/>
    <w:pPr>
      <w:ind w:left="1841" w:hanging="328"/>
      <w:outlineLvl w:val="6"/>
    </w:pPr>
    <w:rPr>
      <w:rFonts w:ascii="Arial Black" w:eastAsia="Arial Black" w:hAnsi="Arial Black" w:cs="Arial Black"/>
      <w:sz w:val="24"/>
      <w:szCs w:val="24"/>
    </w:rPr>
  </w:style>
  <w:style w:type="paragraph" w:customStyle="1" w:styleId="Heading9">
    <w:name w:val="Heading 9"/>
    <w:basedOn w:val="Normalny"/>
    <w:uiPriority w:val="1"/>
    <w:qFormat/>
    <w:rsid w:val="00A84752"/>
    <w:pPr>
      <w:ind w:left="1842"/>
      <w:jc w:val="both"/>
    </w:pPr>
    <w:rPr>
      <w:rFonts w:ascii="Tahoma" w:eastAsia="Tahoma" w:hAnsi="Tahoma" w:cs="Tahoma"/>
      <w:b/>
      <w:bCs/>
      <w:sz w:val="20"/>
      <w:szCs w:val="20"/>
    </w:rPr>
  </w:style>
  <w:style w:type="paragraph" w:styleId="Akapitzlist">
    <w:name w:val="List Paragraph"/>
    <w:basedOn w:val="Normalny"/>
    <w:uiPriority w:val="1"/>
    <w:qFormat/>
    <w:rsid w:val="00A84752"/>
    <w:pPr>
      <w:spacing w:line="240" w:lineRule="exact"/>
      <w:ind w:left="2181" w:hanging="343"/>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1302</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Amadeusz</dc:creator>
  <cp:keywords/>
  <dc:description/>
  <cp:lastModifiedBy>Amadeusz</cp:lastModifiedBy>
  <cp:revision>2</cp:revision>
  <dcterms:created xsi:type="dcterms:W3CDTF">2025-09-03T11:29:00Z</dcterms:created>
  <dcterms:modified xsi:type="dcterms:W3CDTF">2025-09-03T11:30:00Z</dcterms:modified>
</cp:coreProperties>
</file>