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E36" w:rsidRPr="0020723B" w:rsidRDefault="00B82E36" w:rsidP="00B82E36">
      <w:pPr>
        <w:pStyle w:val="Tekstpodstawowy"/>
        <w:spacing w:before="53"/>
        <w:rPr>
          <w:rFonts w:ascii="Calibri" w:hAnsi="Calibri" w:cs="Arial"/>
          <w:sz w:val="22"/>
        </w:rPr>
      </w:pPr>
    </w:p>
    <w:p w:rsidR="00B82E36" w:rsidRPr="0020723B" w:rsidRDefault="00B82E36" w:rsidP="00B82E36">
      <w:pPr>
        <w:pStyle w:val="Heading4"/>
        <w:spacing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25" o:spid="_x0000_s1026" type="#_x0000_t202" style="position:absolute;left:0;text-align:left;margin-left:85.05pt;margin-top:-12.85pt;width:45.4pt;height:52.05pt;z-index:251660288;mso-position-horizontal-relative:page" fillcolor="#bee3eb" stroked="f">
            <v:textbox inset="0,0,0,0">
              <w:txbxContent>
                <w:p w:rsidR="00B82E36" w:rsidRDefault="00B82E36" w:rsidP="00B82E36">
                  <w:pPr>
                    <w:pStyle w:val="Tekstpodstawowy"/>
                    <w:spacing w:before="72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B82E36" w:rsidRDefault="00B82E36" w:rsidP="00B82E36">
                  <w:pPr>
                    <w:ind w:left="20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ANALIZUJE NIEPLANOWE, POWTÓRNE HOSPITALIZACJE.</w:t>
      </w:r>
    </w:p>
    <w:p w:rsidR="00B82E36" w:rsidRPr="0020723B" w:rsidRDefault="00B82E36" w:rsidP="00B82E36">
      <w:pPr>
        <w:pStyle w:val="Tekstpodstawowy"/>
        <w:spacing w:before="44"/>
        <w:rPr>
          <w:rFonts w:ascii="Calibri" w:hAnsi="Calibri" w:cs="Arial"/>
          <w:sz w:val="22"/>
        </w:rPr>
      </w:pPr>
    </w:p>
    <w:p w:rsidR="00B82E36" w:rsidRPr="0020723B" w:rsidRDefault="00B82E36" w:rsidP="00B82E36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82E36" w:rsidRPr="0020723B" w:rsidRDefault="00B82E36" w:rsidP="00B82E36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Rozróżnienie przyczyn powtórnych hospitalizacji ma istotne znaczenie dla oceny jakości postępowania. Powtórne przyjęcie do szpitala może wynikać z: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planowego rozłożenia postępowania medycznego na realizowane kolejno etapy;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przyjęcia do szpitala z przyczyn niezależnych od powodu poprzedniej hospitalizacji;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1842"/>
          <w:tab w:val="left" w:pos="2181"/>
        </w:tabs>
        <w:spacing w:line="247" w:lineRule="auto"/>
        <w:ind w:left="1842" w:right="138" w:hanging="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powodu powikłań lub zdarzeń niepożądanych, wynikających z poprzedniej hospitalizacji. Analizowane powinny być przypadki hospitalizacji, </w:t>
      </w:r>
      <w:r>
        <w:rPr>
          <w:rFonts w:ascii="Calibri" w:hAnsi="Calibri" w:cs="Arial"/>
          <w:szCs w:val="20"/>
        </w:rPr>
        <w:t>wynikające z powikłań lub skut</w:t>
      </w:r>
      <w:r w:rsidRPr="0020723B">
        <w:rPr>
          <w:rFonts w:ascii="Calibri" w:hAnsi="Calibri" w:cs="Arial"/>
          <w:szCs w:val="20"/>
        </w:rPr>
        <w:t>ków ubocznych poprzedniej hospitalizacji, tj. jeżeli wc</w:t>
      </w:r>
      <w:r>
        <w:rPr>
          <w:rFonts w:ascii="Calibri" w:hAnsi="Calibri" w:cs="Arial"/>
          <w:szCs w:val="20"/>
        </w:rPr>
        <w:t>ześniejszy pobyt nie był zakoń</w:t>
      </w:r>
      <w:r w:rsidRPr="0020723B">
        <w:rPr>
          <w:rFonts w:ascii="Calibri" w:hAnsi="Calibri" w:cs="Arial"/>
          <w:szCs w:val="20"/>
        </w:rPr>
        <w:t>czony zaleceniem kolejnego przyjęcia do szpitala, a przyczyna hospitalizacji miała związek z poprzednim pobytem w szpitalu. Analiza nieplanowych, powtórnych hospitalizacji obejmuje powtórne hospitalizacje do 30 dni od daty poprzedniego wypisu ze szpitala.</w:t>
      </w:r>
    </w:p>
    <w:p w:rsidR="00B82E36" w:rsidRPr="0020723B" w:rsidRDefault="00B82E36" w:rsidP="00B82E36">
      <w:pPr>
        <w:pStyle w:val="Tekstpodstawowy"/>
        <w:spacing w:before="2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Powtórne hospitalizacje są poddawane ocenie przynajmniej dwa razy w roku; ich ocena powinna uwzględniać wyniki kliniczne i ekonomiczne. Wnioski z oceny powtórnych hospitalizacji są znane kierującym oddziałami oraz kierownikowi szpitala.</w:t>
      </w:r>
    </w:p>
    <w:p w:rsidR="00B82E36" w:rsidRPr="0020723B" w:rsidRDefault="00B82E36" w:rsidP="00B82E36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B82E36" w:rsidRPr="0020723B" w:rsidRDefault="00B82E36" w:rsidP="00B82E3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B82E36" w:rsidRPr="0020723B" w:rsidRDefault="00B82E36" w:rsidP="00B82E36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82E36" w:rsidRPr="0020723B" w:rsidRDefault="00B82E36" w:rsidP="00B82E36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analizuje nieplanowe, powtórne hospitalizacje zgodnie z wymogami standardu.</w:t>
      </w:r>
    </w:p>
    <w:p w:rsidR="00B82E36" w:rsidRPr="0020723B" w:rsidRDefault="00B82E36" w:rsidP="00B82E36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analizuje nieplanowych, powtórnych hospitalizacji zgodnie z wymogami standardu.</w:t>
      </w:r>
    </w:p>
    <w:p w:rsidR="00B82E36" w:rsidRPr="0020723B" w:rsidRDefault="00B82E36" w:rsidP="00B82E36">
      <w:pPr>
        <w:pStyle w:val="Tekstpodstawowy"/>
        <w:spacing w:before="3"/>
        <w:rPr>
          <w:rFonts w:ascii="Calibri" w:hAnsi="Calibri" w:cs="Arial"/>
          <w:sz w:val="22"/>
        </w:rPr>
      </w:pPr>
    </w:p>
    <w:p w:rsidR="00B82E36" w:rsidRPr="0020723B" w:rsidRDefault="00B82E36" w:rsidP="00B82E36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B82E36"/>
    <w:sectPr w:rsidR="00427D73" w:rsidSect="00023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C155B3"/>
    <w:multiLevelType w:val="hybridMultilevel"/>
    <w:tmpl w:val="ECDA1452"/>
    <w:lvl w:ilvl="0" w:tplc="05D4F97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BCA61F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C948F1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70AB61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85385E3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835250F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00464F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96A21B8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F006D0A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82E36"/>
    <w:rsid w:val="00023032"/>
    <w:rsid w:val="000745AD"/>
    <w:rsid w:val="00682510"/>
    <w:rsid w:val="00B82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82E3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82E3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82E3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82E3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82E3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82E3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82E3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2025-09-03T11:37:00Z</dcterms:created>
  <dcterms:modified xsi:type="dcterms:W3CDTF">2025-09-03T11:39:00Z</dcterms:modified>
</cp:coreProperties>
</file>