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9243D" w:rsidRPr="0020723B" w:rsidRDefault="0049243D" w:rsidP="0049243D">
      <w:pPr>
        <w:pStyle w:val="Heading4"/>
        <w:spacing w:before="227" w:line="194" w:lineRule="auto"/>
        <w:ind w:left="1275" w:right="2077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rect id="docshape1926" o:spid="_x0000_s1026" style="position:absolute;left:0;text-align:left;margin-left:0;margin-top:570.35pt;width:28.35pt;height:47.95pt;z-index:251660288;mso-position-horizontal-relative:page;mso-position-vertical-relative:page" fillcolor="#072160" stroked="f">
            <w10:wrap anchorx="page" anchory="page"/>
          </v:rect>
        </w:pict>
      </w: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927" o:spid="_x0000_s1027" type="#_x0000_t202" style="position:absolute;left:0;text-align:left;margin-left:56.7pt;margin-top:.15pt;width:45.4pt;height:64.7pt;z-index:251661312;mso-position-horizontal-relative:page" fillcolor="#bee3eb" stroked="f">
            <v:textbox inset="0,0,0,0">
              <w:txbxContent>
                <w:p w:rsidR="0049243D" w:rsidRDefault="0049243D" w:rsidP="0049243D">
                  <w:pPr>
                    <w:pStyle w:val="Tekstpodstawowy"/>
                    <w:spacing w:before="209"/>
                    <w:rPr>
                      <w:color w:val="000000"/>
                      <w:sz w:val="24"/>
                    </w:rPr>
                  </w:pPr>
                </w:p>
                <w:p w:rsidR="0049243D" w:rsidRDefault="0049243D" w:rsidP="0049243D">
                  <w:pPr>
                    <w:spacing w:before="1"/>
                    <w:ind w:left="207"/>
                    <w:rPr>
                      <w:rFonts w:ascii="Arial Black"/>
                      <w:color w:val="000000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85"/>
                      <w:sz w:val="24"/>
                    </w:rPr>
                    <w:t>PJ</w:t>
                  </w:r>
                  <w:r>
                    <w:rPr>
                      <w:rFonts w:ascii="Arial Black"/>
                      <w:color w:val="072160"/>
                      <w:spacing w:val="-15"/>
                      <w:w w:val="85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10"/>
                      <w:sz w:val="24"/>
                    </w:rPr>
                    <w:t>6</w:t>
                  </w:r>
                </w:p>
              </w:txbxContent>
            </v:textbox>
            <w10:wrap anchorx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ODDZIAŁY ZABIEGOWE ANALIZUJĄ NIEPLANOWE, POWTÓRNE ZABIEGI</w:t>
      </w:r>
    </w:p>
    <w:p w:rsidR="0049243D" w:rsidRPr="0020723B" w:rsidRDefault="0049243D" w:rsidP="0049243D">
      <w:pPr>
        <w:pStyle w:val="Heading4"/>
        <w:spacing w:line="337" w:lineRule="exact"/>
        <w:ind w:left="1275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(STANDARD MOŻE BYĆ WYŁĄCZONY).</w:t>
      </w:r>
    </w:p>
    <w:p w:rsidR="0049243D" w:rsidRPr="0020723B" w:rsidRDefault="0049243D" w:rsidP="0049243D">
      <w:pPr>
        <w:pStyle w:val="Tekstpodstawowy"/>
        <w:spacing w:before="117"/>
        <w:rPr>
          <w:rFonts w:ascii="Calibri" w:hAnsi="Calibri" w:cs="Arial"/>
          <w:sz w:val="22"/>
        </w:rPr>
      </w:pPr>
    </w:p>
    <w:p w:rsidR="0049243D" w:rsidRPr="0020723B" w:rsidRDefault="0049243D" w:rsidP="0049243D">
      <w:pPr>
        <w:pStyle w:val="Heading6"/>
        <w:numPr>
          <w:ilvl w:val="0"/>
          <w:numId w:val="1"/>
        </w:numPr>
        <w:tabs>
          <w:tab w:val="left" w:pos="1275"/>
        </w:tabs>
        <w:ind w:hanging="328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49243D" w:rsidRPr="0020723B" w:rsidRDefault="0049243D" w:rsidP="0049243D">
      <w:pPr>
        <w:pStyle w:val="Tekstpodstawowy"/>
        <w:spacing w:before="218" w:line="247" w:lineRule="auto"/>
        <w:ind w:left="1275" w:right="70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Reoperacja będąca nieplanowaną, powtórną operacją albo z</w:t>
      </w:r>
      <w:r>
        <w:rPr>
          <w:rFonts w:ascii="Calibri" w:hAnsi="Calibri" w:cs="Arial"/>
          <w:sz w:val="22"/>
        </w:rPr>
        <w:t>abiegiem inwazyjnym stanowi do</w:t>
      </w:r>
      <w:r w:rsidRPr="0020723B">
        <w:rPr>
          <w:rFonts w:ascii="Calibri" w:hAnsi="Calibri" w:cs="Arial"/>
          <w:sz w:val="22"/>
        </w:rPr>
        <w:t>datkowe ryzyko dla pacjenta. Rozróżnienie przyczyn powtórnych zabiegów ma istotne znaczenie dla oceny jakości postępowania. Konieczność powtórnego wykonania zabiegu może wynikać z:</w:t>
      </w:r>
    </w:p>
    <w:p w:rsidR="0049243D" w:rsidRPr="0020723B" w:rsidRDefault="0049243D" w:rsidP="0049243D">
      <w:pPr>
        <w:pStyle w:val="Akapitzlist"/>
        <w:numPr>
          <w:ilvl w:val="1"/>
          <w:numId w:val="1"/>
        </w:numPr>
        <w:tabs>
          <w:tab w:val="left" w:pos="1614"/>
        </w:tabs>
        <w:spacing w:line="23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planu rozłożenia postępowania medycznego na realizowane kolejno etapy;</w:t>
      </w:r>
    </w:p>
    <w:p w:rsidR="0049243D" w:rsidRPr="0020723B" w:rsidRDefault="0049243D" w:rsidP="0049243D">
      <w:pPr>
        <w:pStyle w:val="Akapitzlist"/>
        <w:numPr>
          <w:ilvl w:val="1"/>
          <w:numId w:val="1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wykonywania zabiegu z przyczyn niezależnych od poprzedniego zabiegu;</w:t>
      </w:r>
    </w:p>
    <w:p w:rsidR="0049243D" w:rsidRPr="0020723B" w:rsidRDefault="0049243D" w:rsidP="0049243D">
      <w:pPr>
        <w:pStyle w:val="Akapitzlist"/>
        <w:numPr>
          <w:ilvl w:val="1"/>
          <w:numId w:val="1"/>
        </w:numPr>
        <w:tabs>
          <w:tab w:val="left" w:pos="1614"/>
        </w:tabs>
        <w:spacing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powikłań lub zdarzeń niepożądanych związanych z pierwszym zabiegiem.</w:t>
      </w:r>
    </w:p>
    <w:p w:rsidR="0049243D" w:rsidRPr="0020723B" w:rsidRDefault="0049243D" w:rsidP="0049243D">
      <w:pPr>
        <w:pStyle w:val="Tekstpodstawowy"/>
        <w:spacing w:before="15"/>
        <w:rPr>
          <w:rFonts w:ascii="Calibri" w:hAnsi="Calibri" w:cs="Arial"/>
          <w:sz w:val="22"/>
        </w:rPr>
      </w:pPr>
    </w:p>
    <w:p w:rsidR="0049243D" w:rsidRPr="0020723B" w:rsidRDefault="0049243D" w:rsidP="0049243D">
      <w:pPr>
        <w:pStyle w:val="Tekstpodstawowy"/>
        <w:spacing w:line="247" w:lineRule="auto"/>
        <w:ind w:left="1275" w:right="70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Przyczyna wszystkich powtórnych zabiegów powinna podlegać ocenie, a głębiej analizowane powinny być powtórne zabiegi, które wynikają z powikłań lub sposobu realizacji poprzedniego zabiegu, w tym należy wyróżnić powtórne zabiegi wynikające z</w:t>
      </w:r>
      <w:r>
        <w:rPr>
          <w:rFonts w:ascii="Calibri" w:hAnsi="Calibri" w:cs="Arial"/>
          <w:sz w:val="22"/>
        </w:rPr>
        <w:t xml:space="preserve"> nieadekwatnej opieki okołoope</w:t>
      </w:r>
      <w:r w:rsidRPr="0020723B">
        <w:rPr>
          <w:rFonts w:ascii="Calibri" w:hAnsi="Calibri" w:cs="Arial"/>
          <w:sz w:val="22"/>
        </w:rPr>
        <w:t>racyjnej. Ocena przyczyn i skutków reoperacji powinna być prowadzona we wszystkich oddziałach zabiegowych co najmniej dwa razy w roku z uwzględnieniem czynników ekonomicznych.</w:t>
      </w:r>
    </w:p>
    <w:p w:rsidR="0049243D" w:rsidRPr="0020723B" w:rsidRDefault="0049243D" w:rsidP="0049243D">
      <w:pPr>
        <w:pStyle w:val="Tekstpodstawowy"/>
        <w:spacing w:before="4"/>
        <w:ind w:left="127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Wnioski z oceny powinny być znane kierującym oddziałami oraz kierownictwu szpitala.</w:t>
      </w:r>
    </w:p>
    <w:p w:rsidR="0049243D" w:rsidRPr="0020723B" w:rsidRDefault="0049243D" w:rsidP="0049243D">
      <w:pPr>
        <w:pStyle w:val="Heading6"/>
        <w:numPr>
          <w:ilvl w:val="0"/>
          <w:numId w:val="1"/>
        </w:numPr>
        <w:tabs>
          <w:tab w:val="left" w:pos="1274"/>
        </w:tabs>
        <w:spacing w:before="172"/>
        <w:ind w:left="1274" w:hanging="374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49243D" w:rsidRPr="0020723B" w:rsidRDefault="0049243D" w:rsidP="0049243D">
      <w:pPr>
        <w:pStyle w:val="Akapitzlist"/>
        <w:numPr>
          <w:ilvl w:val="1"/>
          <w:numId w:val="1"/>
        </w:numPr>
        <w:tabs>
          <w:tab w:val="left" w:pos="1614"/>
        </w:tabs>
        <w:spacing w:before="205"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szpitala;</w:t>
      </w:r>
    </w:p>
    <w:p w:rsidR="0049243D" w:rsidRPr="0020723B" w:rsidRDefault="0049243D" w:rsidP="0049243D">
      <w:pPr>
        <w:pStyle w:val="Akapitzlist"/>
        <w:numPr>
          <w:ilvl w:val="1"/>
          <w:numId w:val="1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kierującymi oddziałami;</w:t>
      </w:r>
    </w:p>
    <w:p w:rsidR="0049243D" w:rsidRPr="0020723B" w:rsidRDefault="0049243D" w:rsidP="0049243D">
      <w:pPr>
        <w:pStyle w:val="Akapitzlist"/>
        <w:numPr>
          <w:ilvl w:val="1"/>
          <w:numId w:val="1"/>
        </w:numPr>
        <w:tabs>
          <w:tab w:val="left" w:pos="1614"/>
        </w:tabs>
        <w:spacing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zespołem ds. jakości.</w:t>
      </w:r>
    </w:p>
    <w:p w:rsidR="0049243D" w:rsidRPr="0020723B" w:rsidRDefault="0049243D" w:rsidP="0049243D">
      <w:pPr>
        <w:pStyle w:val="Heading6"/>
        <w:numPr>
          <w:ilvl w:val="0"/>
          <w:numId w:val="1"/>
        </w:numPr>
        <w:tabs>
          <w:tab w:val="left" w:pos="1274"/>
        </w:tabs>
        <w:spacing w:before="172"/>
        <w:ind w:left="1274" w:hanging="382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49243D" w:rsidRPr="0020723B" w:rsidRDefault="0049243D" w:rsidP="0049243D">
      <w:pPr>
        <w:pStyle w:val="Tekstpodstawowy"/>
        <w:tabs>
          <w:tab w:val="left" w:pos="1615"/>
        </w:tabs>
        <w:spacing w:before="205" w:line="247" w:lineRule="auto"/>
        <w:ind w:left="1615" w:right="715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Wszystkie oddziały zabiegowe szpitala analizują nieplanowe, powtórne zabiegi zgodnie z wymogami standardu.</w:t>
      </w:r>
    </w:p>
    <w:p w:rsidR="0049243D" w:rsidRPr="0020723B" w:rsidRDefault="0049243D" w:rsidP="0049243D">
      <w:pPr>
        <w:pStyle w:val="Tekstpodstawowy"/>
        <w:tabs>
          <w:tab w:val="left" w:pos="1615"/>
        </w:tabs>
        <w:spacing w:line="247" w:lineRule="auto"/>
        <w:ind w:left="1615" w:right="707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Nie wszystkie zabiegowe oddziały szpitala analizują nieplanowe, powtórne zabiegi zgodnie z wymogami standardu.</w:t>
      </w:r>
    </w:p>
    <w:p w:rsidR="0049243D" w:rsidRPr="0020723B" w:rsidRDefault="0049243D" w:rsidP="0049243D">
      <w:pPr>
        <w:pStyle w:val="Heading9"/>
        <w:spacing w:before="218"/>
        <w:ind w:left="1275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0,75</w:t>
      </w:r>
    </w:p>
    <w:p w:rsidR="00427D73" w:rsidRDefault="0049243D"/>
    <w:sectPr w:rsidR="00427D73" w:rsidSect="0002303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387070C"/>
    <w:multiLevelType w:val="hybridMultilevel"/>
    <w:tmpl w:val="E98081E0"/>
    <w:lvl w:ilvl="0" w:tplc="EA5C6890">
      <w:start w:val="1"/>
      <w:numFmt w:val="decimal"/>
      <w:lvlText w:val="%1."/>
      <w:lvlJc w:val="left"/>
      <w:pPr>
        <w:ind w:left="1275" w:hanging="329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CD3C0DCA">
      <w:start w:val="1"/>
      <w:numFmt w:val="decimal"/>
      <w:lvlText w:val="%2)"/>
      <w:lvlJc w:val="left"/>
      <w:pPr>
        <w:ind w:left="1615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5448BC26">
      <w:numFmt w:val="bullet"/>
      <w:lvlText w:val="•"/>
      <w:lvlJc w:val="left"/>
      <w:pPr>
        <w:ind w:left="2542" w:hanging="344"/>
      </w:pPr>
      <w:rPr>
        <w:rFonts w:hint="default"/>
        <w:lang w:val="pl-PL" w:eastAsia="en-US" w:bidi="ar-SA"/>
      </w:rPr>
    </w:lvl>
    <w:lvl w:ilvl="3" w:tplc="97FC1EC2">
      <w:numFmt w:val="bullet"/>
      <w:lvlText w:val="•"/>
      <w:lvlJc w:val="left"/>
      <w:pPr>
        <w:ind w:left="3464" w:hanging="344"/>
      </w:pPr>
      <w:rPr>
        <w:rFonts w:hint="default"/>
        <w:lang w:val="pl-PL" w:eastAsia="en-US" w:bidi="ar-SA"/>
      </w:rPr>
    </w:lvl>
    <w:lvl w:ilvl="4" w:tplc="50C4FF9A">
      <w:numFmt w:val="bullet"/>
      <w:lvlText w:val="•"/>
      <w:lvlJc w:val="left"/>
      <w:pPr>
        <w:ind w:left="4387" w:hanging="344"/>
      </w:pPr>
      <w:rPr>
        <w:rFonts w:hint="default"/>
        <w:lang w:val="pl-PL" w:eastAsia="en-US" w:bidi="ar-SA"/>
      </w:rPr>
    </w:lvl>
    <w:lvl w:ilvl="5" w:tplc="7CF67B42">
      <w:numFmt w:val="bullet"/>
      <w:lvlText w:val="•"/>
      <w:lvlJc w:val="left"/>
      <w:pPr>
        <w:ind w:left="5309" w:hanging="344"/>
      </w:pPr>
      <w:rPr>
        <w:rFonts w:hint="default"/>
        <w:lang w:val="pl-PL" w:eastAsia="en-US" w:bidi="ar-SA"/>
      </w:rPr>
    </w:lvl>
    <w:lvl w:ilvl="6" w:tplc="14EABFE0">
      <w:numFmt w:val="bullet"/>
      <w:lvlText w:val="•"/>
      <w:lvlJc w:val="left"/>
      <w:pPr>
        <w:ind w:left="6231" w:hanging="344"/>
      </w:pPr>
      <w:rPr>
        <w:rFonts w:hint="default"/>
        <w:lang w:val="pl-PL" w:eastAsia="en-US" w:bidi="ar-SA"/>
      </w:rPr>
    </w:lvl>
    <w:lvl w:ilvl="7" w:tplc="8F4CEA7C">
      <w:numFmt w:val="bullet"/>
      <w:lvlText w:val="•"/>
      <w:lvlJc w:val="left"/>
      <w:pPr>
        <w:ind w:left="7154" w:hanging="344"/>
      </w:pPr>
      <w:rPr>
        <w:rFonts w:hint="default"/>
        <w:lang w:val="pl-PL" w:eastAsia="en-US" w:bidi="ar-SA"/>
      </w:rPr>
    </w:lvl>
    <w:lvl w:ilvl="8" w:tplc="3938A0C2">
      <w:numFmt w:val="bullet"/>
      <w:lvlText w:val="•"/>
      <w:lvlJc w:val="left"/>
      <w:pPr>
        <w:ind w:left="8076" w:hanging="344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proofState w:spelling="clean"/>
  <w:defaultTabStop w:val="708"/>
  <w:hyphenationZone w:val="425"/>
  <w:characterSpacingControl w:val="doNotCompress"/>
  <w:compat/>
  <w:rsids>
    <w:rsidRoot w:val="0049243D"/>
    <w:rsid w:val="00023032"/>
    <w:rsid w:val="000745AD"/>
    <w:rsid w:val="0049243D"/>
    <w:rsid w:val="0068251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49243D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49243D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49243D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49243D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49243D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49243D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49243D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212</Words>
  <Characters>1275</Characters>
  <Application>Microsoft Office Word</Application>
  <DocSecurity>0</DocSecurity>
  <Lines>10</Lines>
  <Paragraphs>2</Paragraphs>
  <ScaleCrop>false</ScaleCrop>
  <Company/>
  <LinksUpToDate>false</LinksUpToDate>
  <CharactersWithSpaces>1485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1</cp:revision>
  <dcterms:created xsi:type="dcterms:W3CDTF">2025-09-03T11:39:00Z</dcterms:created>
  <dcterms:modified xsi:type="dcterms:W3CDTF">2025-09-03T11:39:00Z</dcterms:modified>
</cp:coreProperties>
</file>