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0AA" w:rsidRPr="0020723B" w:rsidRDefault="003270AA" w:rsidP="003270AA">
      <w:pPr>
        <w:pStyle w:val="Tekstpodstawowy"/>
        <w:spacing w:before="219"/>
        <w:rPr>
          <w:rFonts w:ascii="Calibri" w:hAnsi="Calibri" w:cs="Arial"/>
          <w:sz w:val="22"/>
        </w:rPr>
      </w:pPr>
    </w:p>
    <w:p w:rsidR="003270AA" w:rsidRPr="0020723B" w:rsidRDefault="003270AA" w:rsidP="003270AA">
      <w:pPr>
        <w:pStyle w:val="Heading4"/>
        <w:spacing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28" o:spid="_x0000_s1026" type="#_x0000_t202" style="position:absolute;left:0;text-align:left;margin-left:56.7pt;margin-top:-13.85pt;width:45.4pt;height:54.05pt;z-index:251660288;mso-position-horizontal-relative:page" fillcolor="#bee3eb" stroked="f">
            <v:textbox inset="0,0,0,0">
              <w:txbxContent>
                <w:p w:rsidR="003270AA" w:rsidRDefault="003270AA" w:rsidP="003270AA">
                  <w:pPr>
                    <w:pStyle w:val="Tekstpodstawowy"/>
                    <w:spacing w:before="103"/>
                    <w:rPr>
                      <w:color w:val="000000"/>
                      <w:sz w:val="24"/>
                    </w:rPr>
                  </w:pPr>
                </w:p>
                <w:p w:rsidR="003270AA" w:rsidRDefault="003270AA" w:rsidP="003270AA">
                  <w:pPr>
                    <w:ind w:left="21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UCZESTNICZY W MONITOROWANIU WSKAŹNIKÓW SKUTECZNOŚCI LECZENIA.</w:t>
      </w:r>
    </w:p>
    <w:p w:rsidR="003270AA" w:rsidRPr="0020723B" w:rsidRDefault="003270AA" w:rsidP="003270AA">
      <w:pPr>
        <w:pStyle w:val="Tekstpodstawowy"/>
        <w:spacing w:before="23"/>
        <w:rPr>
          <w:rFonts w:ascii="Calibri" w:hAnsi="Calibri" w:cs="Arial"/>
          <w:sz w:val="22"/>
        </w:rPr>
      </w:pPr>
    </w:p>
    <w:p w:rsidR="003270AA" w:rsidRPr="0020723B" w:rsidRDefault="003270AA" w:rsidP="003270AA">
      <w:pPr>
        <w:pStyle w:val="Heading6"/>
        <w:numPr>
          <w:ilvl w:val="0"/>
          <w:numId w:val="1"/>
        </w:numPr>
        <w:tabs>
          <w:tab w:val="left" w:pos="1275"/>
        </w:tabs>
        <w:spacing w:before="1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270AA" w:rsidRPr="0020723B" w:rsidRDefault="003270AA" w:rsidP="003270AA">
      <w:pPr>
        <w:pStyle w:val="Tekstpodstawowy"/>
        <w:spacing w:before="217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uczestniczy w prowadzonym przez Ośrodek Akredytacyjny monitorowaniu wskaźników skuteczności odnośnie określonych zabiegów i terapii, poprzez wprowadzanie określonych przez Ośrodek Akredytacyjny informacji do informatycznej bazy danych. Zestaw informacji gromadzonych w bazie danych odnośnie czynników ryzyka, postępowania diagnostyczno-terapeutycznego oraz efektów zdrowotnych poddane obserwacji mogą dostarczyć istotnych wskazówek dla poprawy jakości leczenia w szpitalu. Monitorowanie wskaźników skuteczności zabiegów i terapii może wymagać od szpitala prowadzenia w określonych odstępach czasu ambulatoryjnej kontroli stanu pacjenta i telefonicznej oceny odległej przez okres co najmniej 12 miesięcy po zabiegu lub terapii.</w:t>
      </w:r>
    </w:p>
    <w:p w:rsidR="003270AA" w:rsidRPr="0020723B" w:rsidRDefault="003270AA" w:rsidP="003270AA">
      <w:pPr>
        <w:pStyle w:val="Tekstpodstawowy"/>
        <w:spacing w:before="15"/>
        <w:rPr>
          <w:rFonts w:ascii="Calibri" w:hAnsi="Calibri" w:cs="Arial"/>
          <w:sz w:val="22"/>
        </w:rPr>
      </w:pPr>
    </w:p>
    <w:p w:rsidR="003270AA" w:rsidRPr="0020723B" w:rsidRDefault="003270AA" w:rsidP="003270AA">
      <w:pPr>
        <w:pStyle w:val="Tekstpodstawowy"/>
        <w:spacing w:line="247" w:lineRule="auto"/>
        <w:ind w:left="1275" w:right="70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odniesieniu do każdego wybranego zabiegu lub terapii należy przestrzegać określonej przez Ośrodek Akredytacyjny metodologii prowadzenia obserwacji wyników odległych z uwzględnieniem: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left="1618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929" o:spid="_x0000_s1027" type="#_x0000_t202" style="position:absolute;left:0;text-align:left;margin-left:568.95pt;margin-top:569.3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270AA" w:rsidRDefault="003270AA" w:rsidP="003270AA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PJ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częstotliwości wizyt kontrolnych;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ind w:left="16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czasu obserwacji;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ind w:left="16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zakresu danych rejestrowanych w trakcie kolejnych wizyt;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ind w:left="16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systemu powiadamiania i wzywania pacjentów na kontrolę;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619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systemu przypominania i wyznaczania terminów zastępczych dla osób, które nie zgłoszą się na wizytę kontrolą w wyznaczonym terminie;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619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zakresu danych kontaktowych umożliwiających porozumien</w:t>
      </w:r>
      <w:r>
        <w:rPr>
          <w:rFonts w:ascii="Calibri" w:hAnsi="Calibri" w:cs="Arial"/>
          <w:szCs w:val="20"/>
        </w:rPr>
        <w:t>ie z pacjentem lub osobami bli</w:t>
      </w:r>
      <w:r w:rsidRPr="0020723B">
        <w:rPr>
          <w:rFonts w:ascii="Calibri" w:hAnsi="Calibri" w:cs="Arial"/>
          <w:szCs w:val="20"/>
        </w:rPr>
        <w:t>skimi, lub przedstawicielami ustawowymi pacjenta na wypadek nie zgłaszania się pacjenta na wizyty kontrolne.</w:t>
      </w:r>
    </w:p>
    <w:p w:rsidR="003270AA" w:rsidRPr="0020723B" w:rsidRDefault="003270AA" w:rsidP="003270AA">
      <w:pPr>
        <w:pStyle w:val="Tekstpodstawowy"/>
        <w:spacing w:before="229" w:line="247" w:lineRule="auto"/>
        <w:ind w:left="1279" w:right="139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Okresowo, nie rzadziej niż raz w roku, wyniki monitorowania wskaźników skuteczności leczenia oceniane są przez szpital wraz z danymi otrzymanymi z Ośrodka A</w:t>
      </w:r>
      <w:r>
        <w:rPr>
          <w:rFonts w:ascii="Calibri" w:hAnsi="Calibri" w:cs="Arial"/>
          <w:sz w:val="22"/>
        </w:rPr>
        <w:t>kredytacyjnego. W ocenie i omó</w:t>
      </w:r>
      <w:r w:rsidRPr="0020723B">
        <w:rPr>
          <w:rFonts w:ascii="Calibri" w:hAnsi="Calibri" w:cs="Arial"/>
          <w:sz w:val="22"/>
        </w:rPr>
        <w:t>wieniu wniosków bierze czynny udział personel związany z realizacją określonych zabiegów i terapii.</w:t>
      </w:r>
    </w:p>
    <w:p w:rsidR="003270AA" w:rsidRPr="0020723B" w:rsidRDefault="003270AA" w:rsidP="003270AA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278" w:hanging="427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6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270AA" w:rsidRPr="0020723B" w:rsidRDefault="003270AA" w:rsidP="003270AA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6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3270AA" w:rsidRPr="0020723B" w:rsidRDefault="003270AA" w:rsidP="003270AA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278" w:hanging="427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270AA" w:rsidRPr="0020723B" w:rsidRDefault="003270AA" w:rsidP="003270AA">
      <w:pPr>
        <w:pStyle w:val="Tekstpodstawowy"/>
        <w:spacing w:before="206" w:line="247" w:lineRule="auto"/>
        <w:ind w:left="1619" w:right="13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pełni uczestniczy w monitorowaniu wskaźników skuteczności leczenia zgodnie z wymogami standardu.</w:t>
      </w:r>
    </w:p>
    <w:p w:rsidR="003270AA" w:rsidRPr="0020723B" w:rsidRDefault="003270AA" w:rsidP="003270AA">
      <w:pPr>
        <w:pStyle w:val="Tekstpodstawowy"/>
        <w:spacing w:line="247" w:lineRule="auto"/>
        <w:ind w:left="1619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 pełni uczestniczy w monitorowaniu wskaźników skuteczności leczenia zgodnie z wymogami standardu.</w:t>
      </w:r>
    </w:p>
    <w:p w:rsidR="003270AA" w:rsidRPr="0020723B" w:rsidRDefault="003270AA" w:rsidP="003270AA">
      <w:pPr>
        <w:pStyle w:val="Heading9"/>
        <w:spacing w:before="218"/>
        <w:ind w:left="1279" w:right="13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Standard może nie podlegać ocenie w okresie 6 miesięcy od ustanowienia określonego programu monitorowania.</w:t>
      </w:r>
    </w:p>
    <w:p w:rsidR="00427D73" w:rsidRPr="003270AA" w:rsidRDefault="003270AA" w:rsidP="003270AA">
      <w:pPr>
        <w:pStyle w:val="Heading9"/>
        <w:spacing w:before="237"/>
        <w:ind w:left="127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sectPr w:rsidR="00427D73" w:rsidRPr="003270AA" w:rsidSect="00023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33CEE"/>
    <w:multiLevelType w:val="hybridMultilevel"/>
    <w:tmpl w:val="93107AFC"/>
    <w:lvl w:ilvl="0" w:tplc="A4DC1AEE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D264F8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3781FA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1388BC4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810C46C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E2A0B49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98A8D92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5C582E2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EBC8C3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270AA"/>
    <w:rsid w:val="00023032"/>
    <w:rsid w:val="000745AD"/>
    <w:rsid w:val="003270AA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270A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270A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270A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270A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270A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270A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270A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2025-09-03T11:43:00Z</dcterms:created>
  <dcterms:modified xsi:type="dcterms:W3CDTF">2025-09-03T11:46:00Z</dcterms:modified>
</cp:coreProperties>
</file>