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4C7E" w:rsidRPr="0020723B" w:rsidRDefault="002C4C7E" w:rsidP="002C4C7E">
      <w:pPr>
        <w:pStyle w:val="Tekstpodstawowy"/>
        <w:spacing w:before="170"/>
        <w:rPr>
          <w:rFonts w:ascii="Calibri" w:hAnsi="Calibri" w:cs="Arial"/>
          <w:sz w:val="22"/>
        </w:rPr>
      </w:pPr>
    </w:p>
    <w:p w:rsidR="002C4C7E" w:rsidRPr="0020723B" w:rsidRDefault="002C4C7E" w:rsidP="002C4C7E">
      <w:pPr>
        <w:pStyle w:val="Heading4"/>
        <w:spacing w:line="357" w:lineRule="exact"/>
        <w:ind w:left="1862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931" o:spid="_x0000_s1026" type="#_x0000_t202" style="position:absolute;left:0;text-align:left;margin-left:86.05pt;margin-top:-14.45pt;width:45.4pt;height:61.05pt;z-index:251660288;mso-position-horizontal-relative:page" filled="f" strokecolor="#bee3eb" strokeweight="2pt">
            <v:textbox inset="0,0,0,0">
              <w:txbxContent>
                <w:p w:rsidR="002C4C7E" w:rsidRDefault="002C4C7E" w:rsidP="002C4C7E">
                  <w:pPr>
                    <w:pStyle w:val="Tekstpodstawowy"/>
                    <w:spacing w:before="153"/>
                    <w:rPr>
                      <w:sz w:val="24"/>
                    </w:rPr>
                  </w:pPr>
                </w:p>
                <w:p w:rsidR="002C4C7E" w:rsidRDefault="002C4C7E" w:rsidP="002C4C7E">
                  <w:pPr>
                    <w:ind w:left="107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PJ</w:t>
                  </w:r>
                  <w:r>
                    <w:rPr>
                      <w:rFonts w:ascii="Arial Black"/>
                      <w:color w:val="072160"/>
                      <w:spacing w:val="-15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0"/>
                      <w:sz w:val="24"/>
                    </w:rPr>
                    <w:t>8.1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ANALIZUJE PRZYCZYNY WSZYSTKICH</w:t>
      </w:r>
    </w:p>
    <w:p w:rsidR="002C4C7E" w:rsidRPr="0020723B" w:rsidRDefault="002C4C7E" w:rsidP="002C4C7E">
      <w:pPr>
        <w:pStyle w:val="Heading4"/>
        <w:spacing w:line="357" w:lineRule="exact"/>
        <w:ind w:left="186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ZGONÓW SZPITALNYCH (STANDARD OBLIGATORYJNY).</w:t>
      </w:r>
    </w:p>
    <w:p w:rsidR="002C4C7E" w:rsidRPr="0020723B" w:rsidRDefault="002C4C7E" w:rsidP="002C4C7E">
      <w:pPr>
        <w:pStyle w:val="Tekstpodstawowy"/>
        <w:spacing w:before="156"/>
        <w:rPr>
          <w:rFonts w:ascii="Calibri" w:hAnsi="Calibri" w:cs="Arial"/>
          <w:sz w:val="22"/>
        </w:rPr>
      </w:pPr>
    </w:p>
    <w:p w:rsidR="002C4C7E" w:rsidRPr="0020723B" w:rsidRDefault="002C4C7E" w:rsidP="002C4C7E">
      <w:pPr>
        <w:pStyle w:val="Heading6"/>
        <w:numPr>
          <w:ilvl w:val="0"/>
          <w:numId w:val="1"/>
        </w:numPr>
        <w:tabs>
          <w:tab w:val="left" w:pos="1842"/>
        </w:tabs>
        <w:spacing w:before="1"/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2C4C7E" w:rsidRPr="0020723B" w:rsidRDefault="002C4C7E" w:rsidP="002C4C7E">
      <w:pPr>
        <w:pStyle w:val="Tekstpodstawowy"/>
        <w:spacing w:before="217" w:line="247" w:lineRule="auto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systematycznie, przynajmniej dwa razy w roku, poddaje ocenie zgony hospitalizowanych pacjentów.</w:t>
      </w:r>
    </w:p>
    <w:p w:rsidR="002C4C7E" w:rsidRPr="0020723B" w:rsidRDefault="002C4C7E" w:rsidP="002C4C7E">
      <w:pPr>
        <w:pStyle w:val="Tekstpodstawowy"/>
        <w:spacing w:before="2" w:line="230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Ocena ta uwzględnia:</w:t>
      </w:r>
    </w:p>
    <w:p w:rsidR="002C4C7E" w:rsidRPr="0020723B" w:rsidRDefault="002C4C7E" w:rsidP="002C4C7E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liczbę zgonów z podziałem na oddziały;</w:t>
      </w:r>
    </w:p>
    <w:p w:rsidR="002C4C7E" w:rsidRPr="0020723B" w:rsidRDefault="002C4C7E" w:rsidP="002C4C7E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wiek, płeć;</w:t>
      </w:r>
    </w:p>
    <w:p w:rsidR="002C4C7E" w:rsidRPr="0020723B" w:rsidRDefault="002C4C7E" w:rsidP="002C4C7E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tryb przyjęcia: planowy, pilny, nagły;</w:t>
      </w:r>
    </w:p>
    <w:p w:rsidR="002C4C7E" w:rsidRPr="0020723B" w:rsidRDefault="002C4C7E" w:rsidP="002C4C7E">
      <w:pPr>
        <w:pStyle w:val="Akapitzlist"/>
        <w:numPr>
          <w:ilvl w:val="1"/>
          <w:numId w:val="1"/>
        </w:numPr>
        <w:tabs>
          <w:tab w:val="left" w:pos="1615"/>
        </w:tabs>
        <w:spacing w:line="242" w:lineRule="exact"/>
        <w:jc w:val="left"/>
        <w:rPr>
          <w:rFonts w:ascii="Calibri" w:hAnsi="Calibri" w:cs="Arial"/>
          <w:szCs w:val="20"/>
        </w:rPr>
      </w:pPr>
      <w:r>
        <w:rPr>
          <w:rFonts w:ascii="Calibri" w:hAnsi="Calibri" w:cs="Arial"/>
          <w:szCs w:val="20"/>
        </w:rPr>
        <w:pict>
          <v:rect id="docshape1932" o:spid="_x0000_s1027" style="position:absolute;left:0;text-align:left;margin-left:0;margin-top:570.35pt;width:28.35pt;height:47.95pt;z-index:251661312;mso-position-horizontal-relative:page;mso-position-vertical-relative:page" fillcolor="#072160" stroked="f">
            <w10:wrap anchorx="page" anchory="page"/>
          </v:rect>
        </w:pict>
      </w:r>
      <w:r w:rsidRPr="0020723B">
        <w:rPr>
          <w:rFonts w:ascii="Calibri" w:hAnsi="Calibri" w:cs="Arial"/>
          <w:szCs w:val="20"/>
        </w:rPr>
        <w:t>rodzaj leczenia: zachowawcze, zabiegowe;</w:t>
      </w:r>
    </w:p>
    <w:p w:rsidR="002C4C7E" w:rsidRPr="0020723B" w:rsidRDefault="002C4C7E" w:rsidP="002C4C7E">
      <w:pPr>
        <w:pStyle w:val="Akapitzlist"/>
        <w:numPr>
          <w:ilvl w:val="1"/>
          <w:numId w:val="1"/>
        </w:numPr>
        <w:tabs>
          <w:tab w:val="left" w:pos="1615"/>
        </w:tabs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czas pobytu;</w:t>
      </w:r>
    </w:p>
    <w:p w:rsidR="002C4C7E" w:rsidRPr="0020723B" w:rsidRDefault="002C4C7E" w:rsidP="002C4C7E">
      <w:pPr>
        <w:pStyle w:val="Akapitzlist"/>
        <w:numPr>
          <w:ilvl w:val="1"/>
          <w:numId w:val="1"/>
        </w:numPr>
        <w:tabs>
          <w:tab w:val="left" w:pos="1615"/>
        </w:tabs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przyczyny zgonów;</w:t>
      </w:r>
    </w:p>
    <w:p w:rsidR="002C4C7E" w:rsidRPr="0020723B" w:rsidRDefault="002C4C7E" w:rsidP="002C4C7E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6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zgodność rozpoznania przyczynowego z wynikami rozpoznania autopsyjnego i pośmiertnych badań toksykologicznych, o ile badanie sekcyjne zostało wykonane.</w:t>
      </w:r>
    </w:p>
    <w:p w:rsidR="002C4C7E" w:rsidRPr="0020723B" w:rsidRDefault="002C4C7E" w:rsidP="002C4C7E">
      <w:pPr>
        <w:pStyle w:val="Tekstpodstawowy"/>
        <w:spacing w:before="7"/>
        <w:rPr>
          <w:rFonts w:ascii="Calibri" w:hAnsi="Calibri" w:cs="Arial"/>
          <w:sz w:val="22"/>
        </w:rPr>
      </w:pPr>
    </w:p>
    <w:p w:rsidR="002C4C7E" w:rsidRPr="0020723B" w:rsidRDefault="002C4C7E" w:rsidP="002C4C7E">
      <w:pPr>
        <w:pStyle w:val="Tekstpodstawowy"/>
        <w:spacing w:line="247" w:lineRule="auto"/>
        <w:ind w:left="1838" w:right="70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Na podstawie powyższych danych należy pogłębić ocenę wybranych przypadków zgonów, zwłaszcza tych, których być może, można było uniknąć. Analiza nie służy penalizacji, powinna być prowadzona z udziałem lekarzy zaangażowanych w proces leczenia chorego, uwzględniać para- metry kliniczne stanu pacjenta, powikłania oraz okoliczności mogące mieć wpływ na wystąpienie zgonu np. warunki i organizację pracy, komunikację w zespole terapeutycznym.</w:t>
      </w:r>
    </w:p>
    <w:p w:rsidR="002C4C7E" w:rsidRPr="0020723B" w:rsidRDefault="002C4C7E" w:rsidP="002C4C7E">
      <w:pPr>
        <w:pStyle w:val="Tekstpodstawowy"/>
        <w:spacing w:before="4"/>
        <w:ind w:left="1838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Wnioski z oceny powinny być znane kierującym oddziałami oraz kierownictwu szpitala.</w:t>
      </w:r>
    </w:p>
    <w:p w:rsidR="002C4C7E" w:rsidRPr="0020723B" w:rsidRDefault="002C4C7E" w:rsidP="002C4C7E">
      <w:pPr>
        <w:pStyle w:val="Heading6"/>
        <w:numPr>
          <w:ilvl w:val="0"/>
          <w:numId w:val="1"/>
        </w:numPr>
        <w:tabs>
          <w:tab w:val="left" w:pos="1274"/>
        </w:tabs>
        <w:spacing w:before="171"/>
        <w:ind w:left="1837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2C4C7E" w:rsidRPr="0020723B" w:rsidRDefault="002C4C7E" w:rsidP="002C4C7E">
      <w:pPr>
        <w:pStyle w:val="Akapitzlist"/>
        <w:numPr>
          <w:ilvl w:val="1"/>
          <w:numId w:val="1"/>
        </w:numPr>
        <w:tabs>
          <w:tab w:val="left" w:pos="1614"/>
        </w:tabs>
        <w:spacing w:before="206" w:line="242" w:lineRule="exact"/>
        <w:ind w:left="2177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2C4C7E" w:rsidRPr="0020723B" w:rsidRDefault="002C4C7E" w:rsidP="002C4C7E">
      <w:pPr>
        <w:pStyle w:val="Akapitzlist"/>
        <w:numPr>
          <w:ilvl w:val="1"/>
          <w:numId w:val="1"/>
        </w:numPr>
        <w:tabs>
          <w:tab w:val="left" w:pos="1614"/>
        </w:tabs>
        <w:ind w:left="2177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medycznej;</w:t>
      </w:r>
    </w:p>
    <w:p w:rsidR="002C4C7E" w:rsidRPr="0020723B" w:rsidRDefault="002C4C7E" w:rsidP="002C4C7E">
      <w:pPr>
        <w:pStyle w:val="Akapitzlist"/>
        <w:numPr>
          <w:ilvl w:val="1"/>
          <w:numId w:val="1"/>
        </w:numPr>
        <w:tabs>
          <w:tab w:val="left" w:pos="1614"/>
        </w:tabs>
        <w:ind w:left="2177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kierownikiem;</w:t>
      </w:r>
    </w:p>
    <w:p w:rsidR="002C4C7E" w:rsidRPr="0020723B" w:rsidRDefault="002C4C7E" w:rsidP="002C4C7E">
      <w:pPr>
        <w:pStyle w:val="Akapitzlist"/>
        <w:numPr>
          <w:ilvl w:val="1"/>
          <w:numId w:val="1"/>
        </w:numPr>
        <w:tabs>
          <w:tab w:val="left" w:pos="1614"/>
        </w:tabs>
        <w:ind w:left="2177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2C4C7E" w:rsidRPr="0020723B" w:rsidRDefault="002C4C7E" w:rsidP="002C4C7E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2177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zespołem ds. jakości.</w:t>
      </w:r>
    </w:p>
    <w:p w:rsidR="002C4C7E" w:rsidRPr="0020723B" w:rsidRDefault="002C4C7E" w:rsidP="002C4C7E">
      <w:pPr>
        <w:pStyle w:val="Heading6"/>
        <w:numPr>
          <w:ilvl w:val="0"/>
          <w:numId w:val="1"/>
        </w:numPr>
        <w:tabs>
          <w:tab w:val="left" w:pos="1274"/>
        </w:tabs>
        <w:spacing w:before="171"/>
        <w:ind w:left="1798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2C4C7E" w:rsidRPr="0020723B" w:rsidRDefault="002C4C7E" w:rsidP="002C4C7E">
      <w:pPr>
        <w:pStyle w:val="Tekstpodstawowy"/>
        <w:tabs>
          <w:tab w:val="left" w:pos="1615"/>
        </w:tabs>
        <w:spacing w:before="206" w:line="242" w:lineRule="exact"/>
        <w:ind w:left="179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analizuje przyczyny zgonów pacjentów zgodnie z wymogami standardu.</w:t>
      </w:r>
    </w:p>
    <w:p w:rsidR="002C4C7E" w:rsidRPr="0020723B" w:rsidRDefault="002C4C7E" w:rsidP="002C4C7E">
      <w:pPr>
        <w:pStyle w:val="Tekstpodstawowy"/>
        <w:tabs>
          <w:tab w:val="left" w:pos="1615"/>
        </w:tabs>
        <w:spacing w:line="242" w:lineRule="exact"/>
        <w:ind w:left="179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analizuje przyczyn zgonów pacjentów zgodnie z wymogami standardu.</w:t>
      </w:r>
    </w:p>
    <w:p w:rsidR="002C4C7E" w:rsidRPr="0020723B" w:rsidRDefault="002C4C7E" w:rsidP="002C4C7E">
      <w:pPr>
        <w:pStyle w:val="Tekstpodstawowy"/>
        <w:spacing w:before="3"/>
        <w:ind w:left="524"/>
        <w:rPr>
          <w:rFonts w:ascii="Calibri" w:hAnsi="Calibri" w:cs="Arial"/>
          <w:sz w:val="22"/>
        </w:rPr>
      </w:pPr>
    </w:p>
    <w:p w:rsidR="002C4C7E" w:rsidRPr="0020723B" w:rsidRDefault="002C4C7E" w:rsidP="002C4C7E">
      <w:pPr>
        <w:pStyle w:val="Heading9"/>
        <w:ind w:left="1799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1</w:t>
      </w:r>
    </w:p>
    <w:p w:rsidR="002C4C7E" w:rsidRPr="0020723B" w:rsidRDefault="002C4C7E" w:rsidP="002C4C7E">
      <w:pPr>
        <w:pStyle w:val="Tekstpodstawowy"/>
        <w:spacing w:before="185"/>
        <w:rPr>
          <w:rFonts w:ascii="Calibri" w:hAnsi="Calibri" w:cs="Arial"/>
          <w:sz w:val="22"/>
        </w:rPr>
      </w:pPr>
    </w:p>
    <w:p w:rsidR="00427D73" w:rsidRDefault="002C4C7E"/>
    <w:sectPr w:rsidR="00427D73" w:rsidSect="00A953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altName w:val="Arial"/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DE60BE0"/>
    <w:multiLevelType w:val="hybridMultilevel"/>
    <w:tmpl w:val="952AFF54"/>
    <w:lvl w:ilvl="0" w:tplc="CE308B7E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CB8405BC">
      <w:start w:val="1"/>
      <w:numFmt w:val="decimal"/>
      <w:lvlText w:val="%2)"/>
      <w:lvlJc w:val="left"/>
      <w:pPr>
        <w:ind w:left="2182" w:hanging="344"/>
        <w:jc w:val="right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4DFABF46">
      <w:numFmt w:val="bullet"/>
      <w:lvlText w:val="•"/>
      <w:lvlJc w:val="left"/>
      <w:pPr>
        <w:ind w:left="2180" w:hanging="344"/>
      </w:pPr>
      <w:rPr>
        <w:rFonts w:hint="default"/>
        <w:lang w:val="pl-PL" w:eastAsia="en-US" w:bidi="ar-SA"/>
      </w:rPr>
    </w:lvl>
    <w:lvl w:ilvl="3" w:tplc="697E882E">
      <w:numFmt w:val="bullet"/>
      <w:lvlText w:val="•"/>
      <w:lvlJc w:val="left"/>
      <w:pPr>
        <w:ind w:left="3147" w:hanging="344"/>
      </w:pPr>
      <w:rPr>
        <w:rFonts w:hint="default"/>
        <w:lang w:val="pl-PL" w:eastAsia="en-US" w:bidi="ar-SA"/>
      </w:rPr>
    </w:lvl>
    <w:lvl w:ilvl="4" w:tplc="C21071AC">
      <w:numFmt w:val="bullet"/>
      <w:lvlText w:val="•"/>
      <w:lvlJc w:val="left"/>
      <w:pPr>
        <w:ind w:left="4115" w:hanging="344"/>
      </w:pPr>
      <w:rPr>
        <w:rFonts w:hint="default"/>
        <w:lang w:val="pl-PL" w:eastAsia="en-US" w:bidi="ar-SA"/>
      </w:rPr>
    </w:lvl>
    <w:lvl w:ilvl="5" w:tplc="4DE83758">
      <w:numFmt w:val="bullet"/>
      <w:lvlText w:val="•"/>
      <w:lvlJc w:val="left"/>
      <w:pPr>
        <w:ind w:left="5083" w:hanging="344"/>
      </w:pPr>
      <w:rPr>
        <w:rFonts w:hint="default"/>
        <w:lang w:val="pl-PL" w:eastAsia="en-US" w:bidi="ar-SA"/>
      </w:rPr>
    </w:lvl>
    <w:lvl w:ilvl="6" w:tplc="AE2AF648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7" w:tplc="D7205E22">
      <w:numFmt w:val="bullet"/>
      <w:lvlText w:val="•"/>
      <w:lvlJc w:val="left"/>
      <w:pPr>
        <w:ind w:left="7018" w:hanging="344"/>
      </w:pPr>
      <w:rPr>
        <w:rFonts w:hint="default"/>
        <w:lang w:val="pl-PL" w:eastAsia="en-US" w:bidi="ar-SA"/>
      </w:rPr>
    </w:lvl>
    <w:lvl w:ilvl="8" w:tplc="9C341B2A">
      <w:numFmt w:val="bullet"/>
      <w:lvlText w:val="•"/>
      <w:lvlJc w:val="left"/>
      <w:pPr>
        <w:ind w:left="798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2C4C7E"/>
    <w:rsid w:val="000745AD"/>
    <w:rsid w:val="002C4C7E"/>
    <w:rsid w:val="00682510"/>
    <w:rsid w:val="00A953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2C4C7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2C4C7E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2C4C7E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2C4C7E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2C4C7E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2C4C7E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2C4C7E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202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2025-08-01T08:59:00Z</dcterms:created>
  <dcterms:modified xsi:type="dcterms:W3CDTF">2025-08-01T09:01:00Z</dcterms:modified>
</cp:coreProperties>
</file>