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6D0" w:rsidRPr="0020723B" w:rsidRDefault="003E76D0" w:rsidP="003E76D0">
      <w:pPr>
        <w:pStyle w:val="Tekstpodstawowy"/>
        <w:spacing w:before="185"/>
        <w:rPr>
          <w:rFonts w:ascii="Calibri" w:hAnsi="Calibri" w:cs="Arial"/>
          <w:sz w:val="22"/>
        </w:rPr>
      </w:pPr>
    </w:p>
    <w:p w:rsidR="003E76D0" w:rsidRPr="0020723B" w:rsidRDefault="003E76D0" w:rsidP="003E76D0">
      <w:pPr>
        <w:pStyle w:val="Heading4"/>
        <w:spacing w:line="194" w:lineRule="auto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33" o:spid="_x0000_s1026" type="#_x0000_t202" style="position:absolute;left:0;text-align:left;margin-left:57.7pt;margin-top:-11.2pt;width:45.4pt;height:64.7pt;z-index:251660288;mso-position-horizontal-relative:page" filled="f" strokecolor="#bee3eb" strokeweight="2pt">
            <v:textbox inset="0,0,0,0">
              <w:txbxContent>
                <w:p w:rsidR="003E76D0" w:rsidRDefault="003E76D0" w:rsidP="003E76D0">
                  <w:pPr>
                    <w:pStyle w:val="Tekstpodstawowy"/>
                    <w:spacing w:before="189"/>
                    <w:rPr>
                      <w:sz w:val="24"/>
                    </w:rPr>
                  </w:pPr>
                </w:p>
                <w:p w:rsidR="003E76D0" w:rsidRDefault="003E76D0" w:rsidP="003E76D0">
                  <w:pPr>
                    <w:spacing w:before="1"/>
                    <w:ind w:left="83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8.2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ANALIZUJE PRZYCZYNY ZGONÓW OKOŁOZABIEGOWYCH (STANDARD</w:t>
      </w:r>
    </w:p>
    <w:p w:rsidR="003E76D0" w:rsidRPr="0020723B" w:rsidRDefault="003E76D0" w:rsidP="003E76D0">
      <w:pPr>
        <w:pStyle w:val="Heading4"/>
        <w:spacing w:line="337" w:lineRule="exact"/>
        <w:ind w:left="129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MOŻE BYĆ WYŁĄCZONY).</w:t>
      </w:r>
    </w:p>
    <w:p w:rsidR="003E76D0" w:rsidRPr="0020723B" w:rsidRDefault="003E76D0" w:rsidP="003E76D0">
      <w:pPr>
        <w:pStyle w:val="Heading6"/>
        <w:numPr>
          <w:ilvl w:val="0"/>
          <w:numId w:val="1"/>
        </w:numPr>
        <w:tabs>
          <w:tab w:val="left" w:pos="1275"/>
        </w:tabs>
        <w:spacing w:before="356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E76D0" w:rsidRPr="0020723B" w:rsidRDefault="003E76D0" w:rsidP="003E76D0">
      <w:pPr>
        <w:pStyle w:val="Tekstpodstawowy"/>
        <w:spacing w:before="217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Zgony pacjentów, poddanych zabiegom operacyjnym i małoinwazyjnym interwencjom </w:t>
      </w:r>
      <w:proofErr w:type="spellStart"/>
      <w:r w:rsidRPr="0020723B">
        <w:rPr>
          <w:rFonts w:ascii="Calibri" w:hAnsi="Calibri" w:cs="Arial"/>
          <w:sz w:val="22"/>
        </w:rPr>
        <w:t>zabiego</w:t>
      </w:r>
      <w:proofErr w:type="spellEnd"/>
      <w:r w:rsidRPr="0020723B">
        <w:rPr>
          <w:rFonts w:ascii="Calibri" w:hAnsi="Calibri" w:cs="Arial"/>
          <w:sz w:val="22"/>
        </w:rPr>
        <w:t xml:space="preserve">- </w:t>
      </w:r>
      <w:proofErr w:type="spellStart"/>
      <w:r w:rsidRPr="0020723B">
        <w:rPr>
          <w:rFonts w:ascii="Calibri" w:hAnsi="Calibri" w:cs="Arial"/>
          <w:sz w:val="22"/>
        </w:rPr>
        <w:t>wym</w:t>
      </w:r>
      <w:proofErr w:type="spellEnd"/>
      <w:r w:rsidRPr="0020723B">
        <w:rPr>
          <w:rFonts w:ascii="Calibri" w:hAnsi="Calibri" w:cs="Arial"/>
          <w:sz w:val="22"/>
        </w:rPr>
        <w:t xml:space="preserve"> powinny podlegać analizie w celu ustalenia ich przyczyn i poszukiwania modyfikacji </w:t>
      </w:r>
      <w:proofErr w:type="spellStart"/>
      <w:r w:rsidRPr="0020723B">
        <w:rPr>
          <w:rFonts w:ascii="Calibri" w:hAnsi="Calibri" w:cs="Arial"/>
          <w:sz w:val="22"/>
        </w:rPr>
        <w:t>postę</w:t>
      </w:r>
      <w:proofErr w:type="spellEnd"/>
      <w:r w:rsidRPr="0020723B">
        <w:rPr>
          <w:rFonts w:ascii="Calibri" w:hAnsi="Calibri" w:cs="Arial"/>
          <w:sz w:val="22"/>
        </w:rPr>
        <w:t xml:space="preserve">- </w:t>
      </w:r>
      <w:proofErr w:type="spellStart"/>
      <w:r w:rsidRPr="0020723B">
        <w:rPr>
          <w:rFonts w:ascii="Calibri" w:hAnsi="Calibri" w:cs="Arial"/>
          <w:sz w:val="22"/>
        </w:rPr>
        <w:t>powania</w:t>
      </w:r>
      <w:proofErr w:type="spellEnd"/>
      <w:r w:rsidRPr="0020723B">
        <w:rPr>
          <w:rFonts w:ascii="Calibri" w:hAnsi="Calibri" w:cs="Arial"/>
          <w:sz w:val="22"/>
        </w:rPr>
        <w:t>. Ocena przyczyn tych zgonów powinna być prowadzona systematycznie, co najmniej dwa razy w roku przez klinicystów.</w:t>
      </w:r>
    </w:p>
    <w:p w:rsidR="003E76D0" w:rsidRPr="0020723B" w:rsidRDefault="003E76D0" w:rsidP="003E76D0">
      <w:pPr>
        <w:pStyle w:val="Tekstpodstawowy"/>
        <w:spacing w:before="4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Analizą należy objąć zgony </w:t>
      </w:r>
      <w:proofErr w:type="spellStart"/>
      <w:r w:rsidRPr="0020723B">
        <w:rPr>
          <w:rFonts w:ascii="Calibri" w:hAnsi="Calibri" w:cs="Arial"/>
          <w:sz w:val="22"/>
        </w:rPr>
        <w:t>okołozabiegowe</w:t>
      </w:r>
      <w:proofErr w:type="spellEnd"/>
      <w:r w:rsidRPr="0020723B">
        <w:rPr>
          <w:rFonts w:ascii="Calibri" w:hAnsi="Calibri" w:cs="Arial"/>
          <w:sz w:val="22"/>
        </w:rPr>
        <w:t xml:space="preserve">, czyli takie, które wystąpiły w czasie pobytu pacjenta w szpitalu, w okresie od znieczulenia do wypisu, a w przypadku niestosowania anestezji od </w:t>
      </w:r>
      <w:proofErr w:type="spellStart"/>
      <w:r w:rsidRPr="0020723B">
        <w:rPr>
          <w:rFonts w:ascii="Calibri" w:hAnsi="Calibri" w:cs="Arial"/>
          <w:sz w:val="22"/>
        </w:rPr>
        <w:t>rozpo</w:t>
      </w:r>
      <w:proofErr w:type="spellEnd"/>
      <w:r w:rsidRPr="0020723B">
        <w:rPr>
          <w:rFonts w:ascii="Calibri" w:hAnsi="Calibri" w:cs="Arial"/>
          <w:sz w:val="22"/>
        </w:rPr>
        <w:t xml:space="preserve">- </w:t>
      </w:r>
      <w:proofErr w:type="spellStart"/>
      <w:r w:rsidRPr="0020723B">
        <w:rPr>
          <w:rFonts w:ascii="Calibri" w:hAnsi="Calibri" w:cs="Arial"/>
          <w:sz w:val="22"/>
        </w:rPr>
        <w:t>częcia</w:t>
      </w:r>
      <w:proofErr w:type="spellEnd"/>
      <w:r w:rsidRPr="0020723B">
        <w:rPr>
          <w:rFonts w:ascii="Calibri" w:hAnsi="Calibri" w:cs="Arial"/>
          <w:sz w:val="22"/>
        </w:rPr>
        <w:t xml:space="preserve"> zabiegu do wypisu. Analiza dotyczy też pacjentów przekazywanych z oddziałów zabiegowych do innych oddziałów w szpitalu, w których nastąpił zgon; powinna określać czy zabieg był nagły, w celu ratowania życia, czy planowy. Z oceny należy wyłączyć pacjentów poddanych zabiegom paliatywnym. Analiza powinna uwzględniać powikłania </w:t>
      </w:r>
      <w:proofErr w:type="spellStart"/>
      <w:r w:rsidRPr="0020723B">
        <w:rPr>
          <w:rFonts w:ascii="Calibri" w:hAnsi="Calibri" w:cs="Arial"/>
          <w:sz w:val="22"/>
        </w:rPr>
        <w:t>okołozabiegowe</w:t>
      </w:r>
      <w:proofErr w:type="spellEnd"/>
      <w:r w:rsidRPr="0020723B">
        <w:rPr>
          <w:rFonts w:ascii="Calibri" w:hAnsi="Calibri" w:cs="Arial"/>
          <w:sz w:val="22"/>
        </w:rPr>
        <w:t>, które najczęściej oznaczają dysfunkcję w zakresie:</w:t>
      </w:r>
    </w:p>
    <w:p w:rsidR="003E76D0" w:rsidRPr="0020723B" w:rsidRDefault="003E76D0" w:rsidP="003E76D0">
      <w:pPr>
        <w:pStyle w:val="Akapitzlist"/>
        <w:numPr>
          <w:ilvl w:val="1"/>
          <w:numId w:val="1"/>
        </w:numPr>
        <w:tabs>
          <w:tab w:val="left" w:pos="1614"/>
        </w:tabs>
        <w:spacing w:line="236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gospodarki wodno-elektrolitowej;</w:t>
      </w:r>
    </w:p>
    <w:p w:rsidR="003E76D0" w:rsidRPr="0020723B" w:rsidRDefault="003E76D0" w:rsidP="003E76D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układu krążenia;</w:t>
      </w:r>
    </w:p>
    <w:p w:rsidR="003E76D0" w:rsidRPr="0020723B" w:rsidRDefault="003E76D0" w:rsidP="003E76D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układu oddechowego;</w:t>
      </w:r>
    </w:p>
    <w:p w:rsidR="003E76D0" w:rsidRPr="0020723B" w:rsidRDefault="003E76D0" w:rsidP="003E76D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hemostazy;</w:t>
      </w:r>
    </w:p>
    <w:p w:rsidR="003E76D0" w:rsidRPr="0020723B" w:rsidRDefault="003E76D0" w:rsidP="003E76D0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układu immunologicznego i infekcji</w:t>
      </w:r>
    </w:p>
    <w:p w:rsidR="003E76D0" w:rsidRPr="0020723B" w:rsidRDefault="003E76D0" w:rsidP="003E76D0">
      <w:pPr>
        <w:pStyle w:val="Tekstpodstawowy"/>
        <w:spacing w:before="15"/>
        <w:rPr>
          <w:rFonts w:ascii="Calibri" w:hAnsi="Calibri" w:cs="Arial"/>
          <w:sz w:val="22"/>
        </w:rPr>
      </w:pPr>
    </w:p>
    <w:p w:rsidR="003E76D0" w:rsidRPr="0020723B" w:rsidRDefault="003E76D0" w:rsidP="003E76D0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 obejmować:</w:t>
      </w:r>
    </w:p>
    <w:p w:rsidR="003E76D0" w:rsidRPr="0020723B" w:rsidRDefault="003E76D0" w:rsidP="003E76D0">
      <w:pPr>
        <w:pStyle w:val="Akapitzlist"/>
        <w:numPr>
          <w:ilvl w:val="2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poprawność techniki wykonywania zabiegu lub znieczulenia;</w:t>
      </w:r>
    </w:p>
    <w:p w:rsidR="003E76D0" w:rsidRPr="0020723B" w:rsidRDefault="003E76D0" w:rsidP="003E76D0">
      <w:pPr>
        <w:pStyle w:val="Akapitzlist"/>
        <w:numPr>
          <w:ilvl w:val="2"/>
          <w:numId w:val="1"/>
        </w:numPr>
        <w:tabs>
          <w:tab w:val="left" w:pos="1613"/>
          <w:tab w:val="left" w:pos="1615"/>
        </w:tabs>
        <w:spacing w:line="247" w:lineRule="auto"/>
        <w:ind w:right="709" w:hanging="34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niemożność podjęcia działań korekcyjnych (niedostępność lub opóźniony dostęp np.: do leków, lekarza specjalisty, sali operacyjnej, sprzętu medycznego);</w:t>
      </w:r>
    </w:p>
    <w:p w:rsidR="003E76D0" w:rsidRPr="0020723B" w:rsidRDefault="003E76D0" w:rsidP="003E76D0">
      <w:pPr>
        <w:pStyle w:val="Akapitzlist"/>
        <w:numPr>
          <w:ilvl w:val="2"/>
          <w:numId w:val="1"/>
        </w:numPr>
        <w:tabs>
          <w:tab w:val="left" w:pos="2181"/>
        </w:tabs>
        <w:spacing w:line="242" w:lineRule="exact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934" o:spid="_x0000_s1027" type="#_x0000_t202" style="position:absolute;left:0;text-align:left;margin-left:568.95pt;margin-top:569.3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3E76D0" w:rsidRDefault="003E76D0" w:rsidP="003E76D0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1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PJ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niedostateczny nadzór nad pacjentem;</w:t>
      </w:r>
    </w:p>
    <w:p w:rsidR="003E76D0" w:rsidRPr="0020723B" w:rsidRDefault="003E76D0" w:rsidP="003E76D0">
      <w:pPr>
        <w:pStyle w:val="Akapitzlist"/>
        <w:numPr>
          <w:ilvl w:val="2"/>
          <w:numId w:val="1"/>
        </w:numPr>
        <w:tabs>
          <w:tab w:val="left" w:pos="2181"/>
        </w:tabs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niewłaściwą kwalifikację do zabiegu;</w:t>
      </w:r>
    </w:p>
    <w:p w:rsidR="003E76D0" w:rsidRPr="0020723B" w:rsidRDefault="003E76D0" w:rsidP="003E76D0">
      <w:pPr>
        <w:pStyle w:val="Akapitzlist"/>
        <w:numPr>
          <w:ilvl w:val="2"/>
          <w:numId w:val="1"/>
        </w:numPr>
        <w:tabs>
          <w:tab w:val="left" w:pos="2181"/>
        </w:tabs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niewłaściwe określenie poziomu ryzyka;</w:t>
      </w:r>
    </w:p>
    <w:p w:rsidR="003E76D0" w:rsidRPr="0020723B" w:rsidRDefault="003E76D0" w:rsidP="003E76D0">
      <w:pPr>
        <w:pStyle w:val="Akapitzlist"/>
        <w:numPr>
          <w:ilvl w:val="2"/>
          <w:numId w:val="1"/>
        </w:numPr>
        <w:tabs>
          <w:tab w:val="left" w:pos="2181"/>
        </w:tabs>
        <w:spacing w:line="242" w:lineRule="exact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niewłaściwą profilaktykę powikłań.</w:t>
      </w:r>
    </w:p>
    <w:p w:rsidR="003E76D0" w:rsidRPr="0020723B" w:rsidRDefault="003E76D0" w:rsidP="003E76D0">
      <w:pPr>
        <w:pStyle w:val="Tekstpodstawowy"/>
        <w:spacing w:before="15"/>
        <w:rPr>
          <w:rFonts w:ascii="Calibri" w:hAnsi="Calibri" w:cs="Arial"/>
          <w:sz w:val="22"/>
        </w:rPr>
      </w:pPr>
    </w:p>
    <w:p w:rsidR="003E76D0" w:rsidRPr="0020723B" w:rsidRDefault="003E76D0" w:rsidP="003E76D0">
      <w:pPr>
        <w:pStyle w:val="Tekstpodstawowy"/>
        <w:spacing w:before="1"/>
        <w:ind w:left="127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Wnioski z oceny powinny być znane kierującym oddziałami oraz kierownictwu szpitala.</w:t>
      </w:r>
    </w:p>
    <w:p w:rsidR="003E76D0" w:rsidRPr="0020723B" w:rsidRDefault="003E76D0" w:rsidP="003E76D0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453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E76D0" w:rsidRPr="0020723B" w:rsidRDefault="003E76D0" w:rsidP="003E76D0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79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3E76D0" w:rsidRPr="0020723B" w:rsidRDefault="003E76D0" w:rsidP="003E76D0">
      <w:pPr>
        <w:pStyle w:val="Akapitzlist"/>
        <w:numPr>
          <w:ilvl w:val="1"/>
          <w:numId w:val="1"/>
        </w:numPr>
        <w:tabs>
          <w:tab w:val="left" w:pos="2181"/>
        </w:tabs>
        <w:ind w:left="179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3E76D0" w:rsidRPr="0020723B" w:rsidRDefault="003E76D0" w:rsidP="003E76D0">
      <w:pPr>
        <w:pStyle w:val="Akapitzlist"/>
        <w:numPr>
          <w:ilvl w:val="1"/>
          <w:numId w:val="1"/>
        </w:numPr>
        <w:tabs>
          <w:tab w:val="left" w:pos="2181"/>
        </w:tabs>
        <w:ind w:left="179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3E76D0" w:rsidRPr="0020723B" w:rsidRDefault="003E76D0" w:rsidP="003E76D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179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jakości;</w:t>
      </w:r>
    </w:p>
    <w:p w:rsidR="003E76D0" w:rsidRPr="0020723B" w:rsidRDefault="003E76D0" w:rsidP="003E76D0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453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E76D0" w:rsidRPr="0020723B" w:rsidRDefault="003E76D0" w:rsidP="003E76D0">
      <w:pPr>
        <w:pStyle w:val="Tekstpodstawowy"/>
        <w:tabs>
          <w:tab w:val="left" w:pos="2182"/>
        </w:tabs>
        <w:spacing w:before="206" w:line="242" w:lineRule="exact"/>
        <w:ind w:left="145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Szpital analizuje przyczyny zgonów </w:t>
      </w:r>
      <w:proofErr w:type="spellStart"/>
      <w:r w:rsidRPr="0020723B">
        <w:rPr>
          <w:rFonts w:ascii="Calibri" w:hAnsi="Calibri" w:cs="Arial"/>
          <w:sz w:val="22"/>
        </w:rPr>
        <w:t>okołozabiegowych</w:t>
      </w:r>
      <w:proofErr w:type="spellEnd"/>
      <w:r w:rsidRPr="0020723B">
        <w:rPr>
          <w:rFonts w:ascii="Calibri" w:hAnsi="Calibri" w:cs="Arial"/>
          <w:sz w:val="22"/>
        </w:rPr>
        <w:t xml:space="preserve"> zgodnie z wymogami standardu.</w:t>
      </w:r>
    </w:p>
    <w:p w:rsidR="003E76D0" w:rsidRPr="0020723B" w:rsidRDefault="003E76D0" w:rsidP="003E76D0">
      <w:pPr>
        <w:pStyle w:val="Tekstpodstawowy"/>
        <w:tabs>
          <w:tab w:val="left" w:pos="2182"/>
        </w:tabs>
        <w:spacing w:line="242" w:lineRule="exact"/>
        <w:ind w:left="145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Szpital nie analizuje przyczyn zgonów </w:t>
      </w:r>
      <w:proofErr w:type="spellStart"/>
      <w:r w:rsidRPr="0020723B">
        <w:rPr>
          <w:rFonts w:ascii="Calibri" w:hAnsi="Calibri" w:cs="Arial"/>
          <w:sz w:val="22"/>
        </w:rPr>
        <w:t>okołozabiegowych</w:t>
      </w:r>
      <w:proofErr w:type="spellEnd"/>
      <w:r w:rsidRPr="0020723B">
        <w:rPr>
          <w:rFonts w:ascii="Calibri" w:hAnsi="Calibri" w:cs="Arial"/>
          <w:sz w:val="22"/>
        </w:rPr>
        <w:t xml:space="preserve"> zgodnie z wymogami standardu.</w:t>
      </w:r>
    </w:p>
    <w:p w:rsidR="003E76D0" w:rsidRPr="0020723B" w:rsidRDefault="003E76D0" w:rsidP="003E76D0">
      <w:pPr>
        <w:pStyle w:val="Tekstpodstawowy"/>
        <w:spacing w:before="3"/>
        <w:rPr>
          <w:rFonts w:ascii="Calibri" w:hAnsi="Calibri" w:cs="Arial"/>
          <w:sz w:val="22"/>
        </w:rPr>
      </w:pPr>
    </w:p>
    <w:p w:rsidR="003E76D0" w:rsidRPr="0020723B" w:rsidRDefault="003E76D0" w:rsidP="003E76D0">
      <w:pPr>
        <w:pStyle w:val="Heading9"/>
        <w:ind w:left="1454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3E76D0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B47F66"/>
    <w:multiLevelType w:val="hybridMultilevel"/>
    <w:tmpl w:val="A0346610"/>
    <w:lvl w:ilvl="0" w:tplc="EDCA0C44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A2A4248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3AB003BE">
      <w:start w:val="1"/>
      <w:numFmt w:val="decimal"/>
      <w:lvlText w:val="%3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3" w:tplc="DA92994C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5F084E20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ADFE9422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75E0821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DFA2019A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F2266420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E76D0"/>
    <w:rsid w:val="000745AD"/>
    <w:rsid w:val="003E76D0"/>
    <w:rsid w:val="00682510"/>
    <w:rsid w:val="00A9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E76D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E76D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E76D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E76D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E76D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E76D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E76D0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2025-08-01T09:03:00Z</dcterms:created>
  <dcterms:modified xsi:type="dcterms:W3CDTF">2025-08-01T09:04:00Z</dcterms:modified>
</cp:coreProperties>
</file>