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8B5" w:rsidRPr="0020723B" w:rsidRDefault="009A48B5" w:rsidP="009A48B5">
      <w:pPr>
        <w:pStyle w:val="Tekstpodstawowy"/>
        <w:spacing w:before="228"/>
        <w:rPr>
          <w:rFonts w:ascii="Calibri" w:hAnsi="Calibri" w:cs="Arial"/>
          <w:sz w:val="22"/>
        </w:rPr>
      </w:pPr>
    </w:p>
    <w:p w:rsidR="009A48B5" w:rsidRPr="0020723B" w:rsidRDefault="009A48B5" w:rsidP="009A48B5">
      <w:pPr>
        <w:pStyle w:val="Heading4"/>
        <w:spacing w:line="194" w:lineRule="auto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14" o:spid="_x0000_s1028" type="#_x0000_t202" style="position:absolute;left:0;text-align:left;margin-left:85.05pt;margin-top:-9.55pt;width:45.4pt;height:45.4pt;z-index:251660288;mso-position-horizontal-relative:page" fillcolor="#bee3eb" stroked="f">
            <v:textbox inset="0,0,0,0">
              <w:txbxContent>
                <w:p w:rsidR="009A48B5" w:rsidRDefault="009A48B5" w:rsidP="009A48B5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9A48B5" w:rsidRDefault="009A48B5" w:rsidP="009A48B5">
                  <w:pPr>
                    <w:ind w:left="16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9"/>
                      <w:sz w:val="24"/>
                    </w:rPr>
                    <w:t>CO</w:t>
                  </w:r>
                  <w:r>
                    <w:rPr>
                      <w:rFonts w:ascii="Arial Black"/>
                      <w:color w:val="072160"/>
                      <w:spacing w:val="-28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OKREŚLONO SPOSÓB POSTĘPOWANIA W PRZYPADKU ODMOWY PRZYJĘCIA DO SZPITALA.</w:t>
      </w:r>
    </w:p>
    <w:p w:rsidR="009A48B5" w:rsidRPr="0020723B" w:rsidRDefault="009A48B5" w:rsidP="009A48B5">
      <w:pPr>
        <w:pStyle w:val="Tekstpodstawowy"/>
        <w:spacing w:before="110"/>
        <w:rPr>
          <w:rFonts w:ascii="Calibri" w:hAnsi="Calibri" w:cs="Arial"/>
          <w:sz w:val="22"/>
        </w:rPr>
      </w:pPr>
    </w:p>
    <w:p w:rsidR="009A48B5" w:rsidRPr="0020723B" w:rsidRDefault="009A48B5" w:rsidP="009A48B5">
      <w:pPr>
        <w:pStyle w:val="Heading6"/>
        <w:numPr>
          <w:ilvl w:val="0"/>
          <w:numId w:val="2"/>
        </w:numPr>
        <w:tabs>
          <w:tab w:val="left" w:pos="1842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A48B5" w:rsidRPr="0020723B" w:rsidRDefault="009A48B5" w:rsidP="009A48B5">
      <w:pPr>
        <w:pStyle w:val="Tekstpodstawowy"/>
        <w:spacing w:before="217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Odmowie przyjęcia do szpitala w szczególności z powodu braku: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miejsc,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odpowiedniego sprzętu,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wskazań,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możliwości dostarczenia terapii i opieki wymaganej stanem zdrowia,</w:t>
      </w:r>
    </w:p>
    <w:p w:rsidR="009A48B5" w:rsidRPr="009A48B5" w:rsidRDefault="009A48B5" w:rsidP="009A48B5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 powodu braku zgody pacjenta na realizację świadczenia opieki zdrowotnej</w:t>
      </w:r>
    </w:p>
    <w:p w:rsidR="009A48B5" w:rsidRPr="0020723B" w:rsidRDefault="009A48B5" w:rsidP="009A48B5">
      <w:pPr>
        <w:pStyle w:val="Tekstpodstawowy"/>
        <w:spacing w:line="230" w:lineRule="exact"/>
        <w:ind w:left="18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powinno towarzyszyć:</w:t>
      </w:r>
    </w:p>
    <w:p w:rsidR="009A48B5" w:rsidRPr="0020723B" w:rsidRDefault="009A48B5" w:rsidP="009A48B5">
      <w:pPr>
        <w:pStyle w:val="Akapitzlist"/>
        <w:numPr>
          <w:ilvl w:val="0"/>
          <w:numId w:val="1"/>
        </w:numPr>
        <w:tabs>
          <w:tab w:val="left" w:pos="1615"/>
        </w:tabs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udzielenie pacjentowi niezbędnej pomocy;</w:t>
      </w:r>
    </w:p>
    <w:p w:rsidR="009A48B5" w:rsidRPr="0020723B" w:rsidRDefault="009A48B5" w:rsidP="009A48B5">
      <w:pPr>
        <w:pStyle w:val="Akapitzlist"/>
        <w:numPr>
          <w:ilvl w:val="0"/>
          <w:numId w:val="1"/>
        </w:numPr>
        <w:tabs>
          <w:tab w:val="left" w:pos="1615"/>
        </w:tabs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przekazanie pisemnej informacji na temat przyczyny odmowy;</w:t>
      </w:r>
    </w:p>
    <w:p w:rsidR="009A48B5" w:rsidRPr="0020723B" w:rsidRDefault="009A48B5" w:rsidP="009A48B5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left="2178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przekazanie informacji o możliwości uzyskania opieki w późniejszym terminie lub w innym ośrodku;</w:t>
      </w:r>
    </w:p>
    <w:p w:rsidR="009A48B5" w:rsidRPr="0020723B" w:rsidRDefault="009A48B5" w:rsidP="009A48B5">
      <w:pPr>
        <w:pStyle w:val="Akapitzlist"/>
        <w:numPr>
          <w:ilvl w:val="0"/>
          <w:numId w:val="1"/>
        </w:numPr>
        <w:tabs>
          <w:tab w:val="left" w:pos="1615"/>
        </w:tabs>
        <w:spacing w:line="234" w:lineRule="exact"/>
        <w:ind w:left="217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gdy stan zdrowia tego wymaga zabezpieczenie przekazania do innego ośrodka.</w:t>
      </w:r>
    </w:p>
    <w:p w:rsidR="009A48B5" w:rsidRPr="0020723B" w:rsidRDefault="009A48B5" w:rsidP="009A48B5">
      <w:pPr>
        <w:pStyle w:val="Heading6"/>
        <w:numPr>
          <w:ilvl w:val="0"/>
          <w:numId w:val="2"/>
        </w:numPr>
        <w:tabs>
          <w:tab w:val="left" w:pos="1274"/>
        </w:tabs>
        <w:spacing w:before="169"/>
        <w:ind w:left="1837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217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4"/>
        </w:tabs>
        <w:ind w:left="217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217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9A48B5" w:rsidRPr="0020723B" w:rsidRDefault="009A48B5" w:rsidP="009A48B5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837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A48B5" w:rsidRPr="0020723B" w:rsidRDefault="009A48B5" w:rsidP="009A48B5">
      <w:pPr>
        <w:pStyle w:val="Tekstpodstawowy"/>
        <w:tabs>
          <w:tab w:val="left" w:pos="1615"/>
        </w:tabs>
        <w:spacing w:before="206" w:line="247" w:lineRule="auto"/>
        <w:ind w:left="2178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Określono sposób postępowania w przypadku odmowy le</w:t>
      </w:r>
      <w:r>
        <w:rPr>
          <w:rFonts w:ascii="Calibri" w:hAnsi="Calibri" w:cs="Arial"/>
          <w:sz w:val="22"/>
        </w:rPr>
        <w:t>czenia zgodnie z wymogami stan</w:t>
      </w:r>
      <w:r w:rsidRPr="0020723B">
        <w:rPr>
          <w:rFonts w:ascii="Calibri" w:hAnsi="Calibri" w:cs="Arial"/>
          <w:sz w:val="22"/>
        </w:rPr>
        <w:t>dardu.</w:t>
      </w:r>
    </w:p>
    <w:p w:rsidR="009A48B5" w:rsidRPr="0020723B" w:rsidRDefault="009A48B5" w:rsidP="009A48B5">
      <w:pPr>
        <w:pStyle w:val="Tekstpodstawowy"/>
        <w:tabs>
          <w:tab w:val="left" w:pos="1615"/>
        </w:tabs>
        <w:spacing w:line="247" w:lineRule="auto"/>
        <w:ind w:left="2178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 przeważającej części wdrożył zasady dotyczące odmowy leczenia (co najmniej 60% kamieni milowych jest spełnionych).</w:t>
      </w:r>
    </w:p>
    <w:p w:rsidR="009A48B5" w:rsidRPr="0020723B" w:rsidRDefault="009A48B5" w:rsidP="009A48B5">
      <w:pPr>
        <w:pStyle w:val="Tekstpodstawowy"/>
        <w:tabs>
          <w:tab w:val="left" w:pos="1615"/>
        </w:tabs>
        <w:spacing w:line="247" w:lineRule="auto"/>
        <w:ind w:left="2178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określono sposobu postępowania w przypadku odmowy leczenia zgodnie z wymogami standardu.</w:t>
      </w:r>
    </w:p>
    <w:p w:rsidR="009A48B5" w:rsidRPr="0020723B" w:rsidRDefault="009A48B5" w:rsidP="009A48B5">
      <w:pPr>
        <w:pStyle w:val="Heading6"/>
        <w:numPr>
          <w:ilvl w:val="0"/>
          <w:numId w:val="2"/>
        </w:numPr>
        <w:tabs>
          <w:tab w:val="left" w:pos="1275"/>
        </w:tabs>
        <w:spacing w:before="143"/>
        <w:ind w:left="1838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4"/>
        </w:tabs>
        <w:spacing w:before="205" w:line="242" w:lineRule="exact"/>
        <w:ind w:left="217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zasady postępowania w razie odmowy przyjęcia z powodu braku miejsc;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78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zasady postępowania w razie odmowy przy</w:t>
      </w:r>
      <w:r>
        <w:rPr>
          <w:rFonts w:ascii="Calibri" w:hAnsi="Calibri" w:cs="Arial"/>
          <w:szCs w:val="20"/>
        </w:rPr>
        <w:t>jęcia z powodu braku od</w:t>
      </w:r>
      <w:r w:rsidRPr="0020723B">
        <w:rPr>
          <w:rFonts w:ascii="Calibri" w:hAnsi="Calibri" w:cs="Arial"/>
          <w:szCs w:val="20"/>
        </w:rPr>
        <w:t>powiedniego sprzętu;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4"/>
        </w:tabs>
        <w:spacing w:line="231" w:lineRule="exact"/>
        <w:ind w:left="217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zasady postępowania w razie odmowy przyjęcia z powodu braku wskazań;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78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zasady postępowania w razie odmow</w:t>
      </w:r>
      <w:r>
        <w:rPr>
          <w:rFonts w:ascii="Calibri" w:hAnsi="Calibri" w:cs="Arial"/>
          <w:szCs w:val="20"/>
        </w:rPr>
        <w:t>y przyjęcia z powodu braku moż</w:t>
      </w:r>
      <w:r w:rsidRPr="0020723B">
        <w:rPr>
          <w:rFonts w:ascii="Calibri" w:hAnsi="Calibri" w:cs="Arial"/>
          <w:szCs w:val="20"/>
        </w:rPr>
        <w:t>liwości dostarczenia terapii i opieki wymaganej stanem zdrowia;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78" w:right="71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i wdrożono zasady postępowania w razie odmowy przyjęcia z powodu braku zgody pacjenta na realizację świadczenia;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78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pacjent, któremu odmówiono udzielenia leczenia, ma określo</w:t>
      </w:r>
      <w:r>
        <w:rPr>
          <w:rFonts w:ascii="Calibri" w:hAnsi="Calibri" w:cs="Arial"/>
          <w:szCs w:val="20"/>
        </w:rPr>
        <w:t>ną i wskazaną (o ile to niezbęd</w:t>
      </w:r>
      <w:r w:rsidRPr="0020723B">
        <w:rPr>
          <w:rFonts w:ascii="Calibri" w:hAnsi="Calibri" w:cs="Arial"/>
          <w:szCs w:val="20"/>
        </w:rPr>
        <w:t>ne) pomoc;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78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pacjent, któremu odmówiono udzielenia leczenia, otrzymuje pisemną informację na temat przyczyny odmowy;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78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pacjent, któremu odmówiono udzielenia leczenia otrzymuje </w:t>
      </w:r>
      <w:r>
        <w:rPr>
          <w:rFonts w:ascii="Calibri" w:hAnsi="Calibri" w:cs="Arial"/>
          <w:szCs w:val="20"/>
        </w:rPr>
        <w:t>informację o możliwości uzyska</w:t>
      </w:r>
      <w:r w:rsidRPr="0020723B">
        <w:rPr>
          <w:rFonts w:ascii="Calibri" w:hAnsi="Calibri" w:cs="Arial"/>
          <w:szCs w:val="20"/>
        </w:rPr>
        <w:t xml:space="preserve">nia opieki w późniejszym terminie lub </w:t>
      </w:r>
      <w:r w:rsidRPr="0020723B">
        <w:rPr>
          <w:rFonts w:ascii="Calibri" w:hAnsi="Calibri" w:cs="Arial"/>
          <w:szCs w:val="20"/>
        </w:rPr>
        <w:lastRenderedPageBreak/>
        <w:t>w innym ośrodku, o ile jest to zasadne w kontekście konkretnej sytuacji pacjenta;</w:t>
      </w:r>
    </w:p>
    <w:p w:rsidR="009A48B5" w:rsidRPr="0020723B" w:rsidRDefault="009A48B5" w:rsidP="009A48B5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68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pacjent, któremu odmówiono udzielenia leczenia, a którego stan zdrowia tego wymaga, zabezpieczenia przekazania do innego ośrodka, jest przekazywany zgodnie z wymaganiami klinicznymi.</w:t>
      </w:r>
    </w:p>
    <w:p w:rsidR="009A48B5" w:rsidRPr="0020723B" w:rsidRDefault="009A48B5" w:rsidP="009A48B5">
      <w:pPr>
        <w:pStyle w:val="Tekstpodstawowy"/>
        <w:spacing w:before="184"/>
        <w:ind w:left="182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6 kamieni milowych.</w:t>
      </w:r>
    </w:p>
    <w:p w:rsidR="009A48B5" w:rsidRPr="0020723B" w:rsidRDefault="009A48B5" w:rsidP="009A48B5">
      <w:pPr>
        <w:pStyle w:val="Tekstpodstawowy"/>
        <w:spacing w:before="3"/>
        <w:ind w:left="553"/>
        <w:rPr>
          <w:rFonts w:ascii="Calibri" w:hAnsi="Calibri" w:cs="Arial"/>
          <w:sz w:val="22"/>
        </w:rPr>
      </w:pPr>
    </w:p>
    <w:p w:rsidR="009A48B5" w:rsidRPr="0020723B" w:rsidRDefault="009A48B5" w:rsidP="009A48B5">
      <w:pPr>
        <w:pStyle w:val="Heading9"/>
        <w:ind w:left="182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9A48B5" w:rsidP="009A48B5">
      <w:pPr>
        <w:ind w:left="82"/>
      </w:pPr>
    </w:p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07BE1"/>
    <w:multiLevelType w:val="hybridMultilevel"/>
    <w:tmpl w:val="665084EC"/>
    <w:lvl w:ilvl="0" w:tplc="BE4E3F4C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83C2932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074C8F2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AA6C8EFA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B82619CE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6F6C06B6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CE74D6C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10CE1F22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C624FB5C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67C37D7C"/>
    <w:multiLevelType w:val="hybridMultilevel"/>
    <w:tmpl w:val="909C5168"/>
    <w:lvl w:ilvl="0" w:tplc="5A4ED20A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56BCD1AA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F8940F66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041C16DC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6250F5A4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324CDA04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7850291E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AEB83E64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02EC6AEC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A48B5"/>
    <w:rsid w:val="000745AD"/>
    <w:rsid w:val="00682510"/>
    <w:rsid w:val="009A48B5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A48B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A48B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A48B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A48B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A48B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A48B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A48B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2025-07-30T11:22:00Z</dcterms:created>
  <dcterms:modified xsi:type="dcterms:W3CDTF">2025-07-30T11:24:00Z</dcterms:modified>
</cp:coreProperties>
</file>