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8EF" w:rsidRPr="0020723B" w:rsidRDefault="00A448EF" w:rsidP="00A448EF">
      <w:pPr>
        <w:pStyle w:val="Tekstpodstawowy"/>
        <w:spacing w:before="195"/>
        <w:rPr>
          <w:rFonts w:ascii="Calibri" w:hAnsi="Calibri" w:cs="Arial"/>
          <w:sz w:val="22"/>
        </w:rPr>
      </w:pPr>
    </w:p>
    <w:p w:rsidR="00A448EF" w:rsidRPr="0020723B" w:rsidRDefault="00A448EF" w:rsidP="00A448EF">
      <w:pPr>
        <w:pStyle w:val="Heading4"/>
        <w:spacing w:line="194" w:lineRule="auto"/>
        <w:ind w:left="1785" w:right="150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19" o:spid="_x0000_s1026" type="#_x0000_t202" style="position:absolute;left:0;text-align:left;margin-left:85.05pt;margin-top:-7.9pt;width:45.4pt;height:58.05pt;z-index:251660288;mso-position-horizontal-relative:page" fillcolor="#bee3eb" stroked="f">
            <v:textbox inset="0,0,0,0">
              <w:txbxContent>
                <w:p w:rsidR="00A448EF" w:rsidRDefault="00A448EF" w:rsidP="00A448EF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A448EF" w:rsidRDefault="00A448EF" w:rsidP="00A448EF">
                  <w:pPr>
                    <w:ind w:left="17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KOMUNIKACJI Z PACJENTEM W PRZYPADKU UZYSKANIA WYNIKÓW BADAŃ</w:t>
      </w:r>
    </w:p>
    <w:p w:rsidR="00A448EF" w:rsidRPr="0020723B" w:rsidRDefault="00A448EF" w:rsidP="00A448EF">
      <w:pPr>
        <w:pStyle w:val="Heading4"/>
        <w:spacing w:line="337" w:lineRule="exact"/>
        <w:ind w:left="178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PO WYPISIE (STANDARD MOŻE BYĆ WYŁĄCZONY).</w:t>
      </w:r>
    </w:p>
    <w:p w:rsidR="00A448EF" w:rsidRPr="0020723B" w:rsidRDefault="00A448EF" w:rsidP="00A448EF">
      <w:pPr>
        <w:pStyle w:val="Tekstpodstawowy"/>
        <w:spacing w:before="47"/>
        <w:rPr>
          <w:rFonts w:ascii="Calibri" w:hAnsi="Calibri" w:cs="Arial"/>
          <w:sz w:val="22"/>
        </w:rPr>
      </w:pPr>
    </w:p>
    <w:p w:rsidR="00A448EF" w:rsidRPr="0020723B" w:rsidRDefault="00A448EF" w:rsidP="00A448EF">
      <w:pPr>
        <w:pStyle w:val="Heading6"/>
        <w:numPr>
          <w:ilvl w:val="0"/>
          <w:numId w:val="1"/>
        </w:numPr>
        <w:tabs>
          <w:tab w:val="left" w:pos="1842"/>
        </w:tabs>
        <w:ind w:left="1744"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448EF" w:rsidRPr="0020723B" w:rsidRDefault="00A448EF" w:rsidP="00A448EF">
      <w:pPr>
        <w:pStyle w:val="Tekstpodstawowy"/>
        <w:spacing w:before="218" w:line="247" w:lineRule="auto"/>
        <w:ind w:left="1744" w:right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Należy określić i wdrożyć sposób komunikowania się z pacjentami, których wynik badania nie był znany w trakcie hospitalizacji. Zasady komunikowania powinny być skuteczne i obejmować: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2181"/>
        </w:tabs>
        <w:spacing w:before="229" w:line="242" w:lineRule="exact"/>
        <w:ind w:left="208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wyznaczenie terminu i miejsca odbioru wyników, najlepiej podczas wizyty kontrolnej;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2181"/>
        </w:tabs>
        <w:ind w:left="208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ustalenie postępowania w przypadku wyników alarmujących lub wątpliwych;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084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ustalenie postępowania w przypadku wyników alarmujących lub wątpliwych, gdy pacjent lub osoba upoważniona do odbioru nie zgłasza się po wynik.</w:t>
      </w:r>
    </w:p>
    <w:p w:rsidR="00A448EF" w:rsidRPr="0020723B" w:rsidRDefault="00A448EF" w:rsidP="00A448EF">
      <w:pPr>
        <w:pStyle w:val="Heading6"/>
        <w:numPr>
          <w:ilvl w:val="0"/>
          <w:numId w:val="1"/>
        </w:numPr>
        <w:tabs>
          <w:tab w:val="left" w:pos="1841"/>
        </w:tabs>
        <w:spacing w:before="16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2181"/>
        </w:tabs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A448EF" w:rsidRPr="0020723B" w:rsidRDefault="00A448EF" w:rsidP="00A448EF">
      <w:pPr>
        <w:pStyle w:val="Heading6"/>
        <w:numPr>
          <w:ilvl w:val="0"/>
          <w:numId w:val="1"/>
        </w:numPr>
        <w:tabs>
          <w:tab w:val="left" w:pos="1274"/>
        </w:tabs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448EF" w:rsidRPr="0020723B" w:rsidRDefault="00A448EF" w:rsidP="00A448EF">
      <w:pPr>
        <w:pStyle w:val="Tekstpodstawowy"/>
        <w:tabs>
          <w:tab w:val="left" w:pos="1615"/>
        </w:tabs>
        <w:spacing w:before="206" w:line="247" w:lineRule="auto"/>
        <w:ind w:left="2139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zasady komunikacji z pacjentem w przypadku uzyskania wyników badań po wypisie zgodnie z wymogami standardu.</w:t>
      </w:r>
    </w:p>
    <w:p w:rsidR="00A448EF" w:rsidRPr="0020723B" w:rsidRDefault="00A448EF" w:rsidP="00A448EF">
      <w:pPr>
        <w:pStyle w:val="Tekstpodstawowy"/>
        <w:tabs>
          <w:tab w:val="left" w:pos="1615"/>
        </w:tabs>
        <w:spacing w:line="247" w:lineRule="auto"/>
        <w:ind w:left="2139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A448EF" w:rsidRPr="0020723B" w:rsidRDefault="00A448EF" w:rsidP="00A448EF">
      <w:pPr>
        <w:pStyle w:val="Tekstpodstawowy"/>
        <w:tabs>
          <w:tab w:val="left" w:pos="1615"/>
        </w:tabs>
        <w:spacing w:line="247" w:lineRule="auto"/>
        <w:ind w:left="2139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zasad komunikacji z pacjentem w przypadku uzyskania wyników badań po wypisie zgodnie z wymogami standardu.</w:t>
      </w:r>
    </w:p>
    <w:p w:rsidR="00A448EF" w:rsidRPr="0020723B" w:rsidRDefault="00A448EF" w:rsidP="00A448EF">
      <w:pPr>
        <w:pStyle w:val="Heading6"/>
        <w:numPr>
          <w:ilvl w:val="0"/>
          <w:numId w:val="1"/>
        </w:numPr>
        <w:tabs>
          <w:tab w:val="left" w:pos="1275"/>
        </w:tabs>
        <w:spacing w:before="143"/>
        <w:ind w:left="1799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left="2139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określono zasady komunikacji z pacjentami, których wyniki zostały uzupełnione po wypisie – opracowano procedurę;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wdrożenie jest skuteczne – co potwierdzone jest zapisami uwzględniającymi liczbę i odsetek przekazanych informacji po wypisie;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213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wyznacza się termin i miejsce odbioru wyników;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1614"/>
        </w:tabs>
        <w:ind w:left="213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odbiór wyników odbywa się w trakcie wizyty kontrolnej;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postępowania w przypadku wyników alarmujących lub wątpliwych;</w:t>
      </w:r>
    </w:p>
    <w:p w:rsidR="00A448EF" w:rsidRPr="0020723B" w:rsidRDefault="00A448EF" w:rsidP="00A448EF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2139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i wdrożono zasady postępowania w przypadk</w:t>
      </w:r>
      <w:r>
        <w:rPr>
          <w:rFonts w:ascii="Calibri" w:hAnsi="Calibri" w:cs="Arial"/>
          <w:szCs w:val="20"/>
        </w:rPr>
        <w:t>u wyników alarmujących lub wąt</w:t>
      </w:r>
      <w:r w:rsidRPr="0020723B">
        <w:rPr>
          <w:rFonts w:ascii="Calibri" w:hAnsi="Calibri" w:cs="Arial"/>
          <w:szCs w:val="20"/>
        </w:rPr>
        <w:t>pliwych, gdy pacjent/osoba upoważniona do odbioru nie zgłasza się po wynik.</w:t>
      </w:r>
    </w:p>
    <w:p w:rsidR="00A448EF" w:rsidRPr="0020723B" w:rsidRDefault="00A448EF" w:rsidP="00A448EF">
      <w:pPr>
        <w:pStyle w:val="Tekstpodstawowy"/>
        <w:spacing w:before="217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stanowią 4 kamienie milowe.</w:t>
      </w:r>
    </w:p>
    <w:p w:rsidR="00A448EF" w:rsidRPr="0020723B" w:rsidRDefault="00A448EF" w:rsidP="00A448EF">
      <w:pPr>
        <w:pStyle w:val="Tekstpodstawowy"/>
        <w:spacing w:before="3"/>
        <w:ind w:left="524"/>
        <w:rPr>
          <w:rFonts w:ascii="Calibri" w:hAnsi="Calibri" w:cs="Arial"/>
          <w:sz w:val="22"/>
        </w:rPr>
      </w:pPr>
    </w:p>
    <w:p w:rsidR="00427D73" w:rsidRPr="00A448EF" w:rsidRDefault="00A448EF" w:rsidP="00A448EF">
      <w:pPr>
        <w:pStyle w:val="Heading9"/>
        <w:ind w:left="179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A448EF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03E09"/>
    <w:multiLevelType w:val="hybridMultilevel"/>
    <w:tmpl w:val="45761118"/>
    <w:lvl w:ilvl="0" w:tplc="28663398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44AD46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C3A52B2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F3C8DC5E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8582645E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C9AC5B0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2B3013A0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3654871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863087F0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448EF"/>
    <w:rsid w:val="000745AD"/>
    <w:rsid w:val="00682510"/>
    <w:rsid w:val="00A448EF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448E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448E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448E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448E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448E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448E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448EF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2025-07-30T11:25:00Z</dcterms:created>
  <dcterms:modified xsi:type="dcterms:W3CDTF">2025-07-30T11:26:00Z</dcterms:modified>
</cp:coreProperties>
</file>