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56D4" w:rsidRPr="00E26CA7" w:rsidRDefault="00C156D4" w:rsidP="00C156D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C156D4" w:rsidRPr="00E26CA7" w:rsidRDefault="00C156D4" w:rsidP="00C156D4">
      <w:pPr>
        <w:pStyle w:val="Heading4"/>
        <w:ind w:right="356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60" o:spid="_x0000_s1026" type="#_x0000_t202" style="position:absolute;left:0;text-align:left;margin-left:85.05pt;margin-top:-12.35pt;width:45.4pt;height:51pt;z-index:251660288;mso-position-horizontal-relative:page" fillcolor="#bee3eb" stroked="f">
            <v:textbox inset="0,0,0,0">
              <w:txbxContent>
                <w:p w:rsidR="00C156D4" w:rsidRDefault="00C156D4" w:rsidP="00C156D4">
                  <w:pPr>
                    <w:pStyle w:val="Tekstpodstawowy"/>
                    <w:spacing w:before="62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C156D4" w:rsidRDefault="00C156D4" w:rsidP="00C156D4">
                  <w:pPr>
                    <w:ind w:left="201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90"/>
                      <w:sz w:val="24"/>
                    </w:rPr>
                    <w:t>DO</w:t>
                  </w:r>
                  <w:r>
                    <w:rPr>
                      <w:rFonts w:ascii="Arial Black"/>
                      <w:color w:val="072160"/>
                      <w:spacing w:val="-11"/>
                      <w:w w:val="9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0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E26CA7">
        <w:rPr>
          <w:rFonts w:asciiTheme="minorHAnsi" w:hAnsiTheme="minorHAnsi" w:cstheme="minorHAnsi"/>
          <w:color w:val="072160"/>
          <w:sz w:val="22"/>
          <w:szCs w:val="22"/>
        </w:rPr>
        <w:t>W PRACOWNI OKREŚLONO SPOSOBY POSTĘPOWANIA Z PACJENTEM (STANDARD OBLIGATORYJNY).</w:t>
      </w:r>
    </w:p>
    <w:p w:rsidR="00C156D4" w:rsidRPr="00E26CA7" w:rsidRDefault="00C156D4" w:rsidP="00C156D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C156D4" w:rsidRPr="00E26CA7" w:rsidRDefault="00C156D4" w:rsidP="00C156D4">
      <w:pPr>
        <w:pStyle w:val="Heading6"/>
        <w:numPr>
          <w:ilvl w:val="0"/>
          <w:numId w:val="2"/>
        </w:numPr>
        <w:tabs>
          <w:tab w:val="left" w:pos="1842"/>
        </w:tabs>
        <w:ind w:hanging="328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Opis wymagań</w:t>
      </w:r>
    </w:p>
    <w:p w:rsidR="00C156D4" w:rsidRPr="00E26CA7" w:rsidRDefault="00C156D4" w:rsidP="00C156D4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W pracowni opracowane są zasady postępowania z pacjentem, obejmujące wszystkie rodzaje wykonywanych badań radiologicznych i radioizotopowych. Zasady te uwzględniają: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sposób przygotowania pacjenta;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wykonanie badania i postępowanie po badaniu;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wydawanie wyników i ich archiwizację.</w:t>
      </w:r>
    </w:p>
    <w:p w:rsidR="00C156D4" w:rsidRPr="00E26CA7" w:rsidRDefault="00C156D4" w:rsidP="00C156D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C156D4" w:rsidRPr="00E26CA7" w:rsidRDefault="00C156D4" w:rsidP="00C156D4">
      <w:pPr>
        <w:pStyle w:val="Tekstpodstawowy"/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sz w:val="22"/>
          <w:szCs w:val="22"/>
        </w:rPr>
        <w:t>Osobna instrukcja powinna być opracowana i wdrożona w przypadku wykonywania badań poza pracownią dla np.:</w:t>
      </w:r>
    </w:p>
    <w:p w:rsidR="00C156D4" w:rsidRPr="00E26CA7" w:rsidRDefault="00C156D4" w:rsidP="00C156D4">
      <w:pPr>
        <w:pStyle w:val="Akapitzlist"/>
        <w:numPr>
          <w:ilvl w:val="0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zdjęć przyłóżkowych;</w:t>
      </w:r>
    </w:p>
    <w:p w:rsidR="00C156D4" w:rsidRPr="00E26CA7" w:rsidRDefault="00C156D4" w:rsidP="00C156D4">
      <w:pPr>
        <w:pStyle w:val="Akapitzlist"/>
        <w:numPr>
          <w:ilvl w:val="0"/>
          <w:numId w:val="1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zdjęć lub badań na sali operacyjnej;</w:t>
      </w:r>
    </w:p>
    <w:p w:rsidR="00C156D4" w:rsidRPr="00E26CA7" w:rsidRDefault="00C156D4" w:rsidP="00C156D4">
      <w:pPr>
        <w:pStyle w:val="Akapitzlist"/>
        <w:numPr>
          <w:ilvl w:val="0"/>
          <w:numId w:val="1"/>
        </w:numPr>
        <w:tabs>
          <w:tab w:val="left" w:pos="1842"/>
          <w:tab w:val="left" w:pos="2181"/>
        </w:tabs>
        <w:spacing w:line="240" w:lineRule="auto"/>
        <w:ind w:left="1842" w:right="1987" w:hanging="4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zdjęć lub badań w szpitalnym oddziale ratunkowym lub izbie przyjęć. Instrukcje powinny być również opracowane przez podmiot zewnętrzny.</w:t>
      </w:r>
    </w:p>
    <w:p w:rsidR="00C156D4" w:rsidRPr="00E26CA7" w:rsidRDefault="00C156D4" w:rsidP="00C156D4">
      <w:pPr>
        <w:pStyle w:val="Heading6"/>
        <w:numPr>
          <w:ilvl w:val="0"/>
          <w:numId w:val="2"/>
        </w:numPr>
        <w:tabs>
          <w:tab w:val="left" w:pos="1841"/>
        </w:tabs>
        <w:ind w:left="1841" w:hanging="374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Sposób sprawdzenia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przegląd dokumentacji szpitala;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wywiad z personelem;</w:t>
      </w:r>
    </w:p>
    <w:p w:rsidR="00C156D4" w:rsidRPr="00E26CA7" w:rsidRDefault="00C156D4" w:rsidP="00C156D4">
      <w:pPr>
        <w:pStyle w:val="Akapitzlist"/>
        <w:numPr>
          <w:ilvl w:val="1"/>
          <w:numId w:val="2"/>
        </w:numPr>
        <w:tabs>
          <w:tab w:val="left" w:pos="2181"/>
        </w:tabs>
        <w:spacing w:line="240" w:lineRule="auto"/>
        <w:ind w:left="2181" w:hanging="343"/>
        <w:rPr>
          <w:rFonts w:asciiTheme="minorHAnsi" w:hAnsiTheme="minorHAnsi" w:cstheme="minorHAnsi"/>
        </w:rPr>
      </w:pPr>
      <w:r w:rsidRPr="00E26CA7">
        <w:rPr>
          <w:rFonts w:asciiTheme="minorHAnsi" w:hAnsiTheme="minorHAnsi" w:cstheme="minorHAnsi"/>
        </w:rPr>
        <w:t>obserwacja bezpośrednia.</w:t>
      </w:r>
    </w:p>
    <w:p w:rsidR="00C156D4" w:rsidRPr="00E26CA7" w:rsidRDefault="00C156D4" w:rsidP="00C156D4">
      <w:pPr>
        <w:pStyle w:val="Heading6"/>
        <w:numPr>
          <w:ilvl w:val="0"/>
          <w:numId w:val="2"/>
        </w:numPr>
        <w:tabs>
          <w:tab w:val="left" w:pos="1841"/>
        </w:tabs>
        <w:ind w:left="1841" w:hanging="38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Ocena punktowa</w:t>
      </w:r>
    </w:p>
    <w:p w:rsidR="00C156D4" w:rsidRPr="00E26CA7" w:rsidRDefault="00C156D4" w:rsidP="00C156D4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5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W szpitalu określono sposoby postępowania z pacjentem zgodnie z wymogami standardu.</w:t>
      </w:r>
    </w:p>
    <w:p w:rsidR="00C156D4" w:rsidRPr="00E26CA7" w:rsidRDefault="00C156D4" w:rsidP="00C156D4">
      <w:pPr>
        <w:pStyle w:val="Tekstpodstawowy"/>
        <w:tabs>
          <w:tab w:val="left" w:pos="2182"/>
        </w:tabs>
        <w:ind w:left="1842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>1</w:t>
      </w:r>
      <w:r w:rsidRPr="00E26CA7">
        <w:rPr>
          <w:rFonts w:asciiTheme="minorHAnsi" w:hAnsiTheme="minorHAnsi" w:cstheme="minorHAnsi"/>
          <w:b/>
          <w:color w:val="072160"/>
          <w:sz w:val="22"/>
          <w:szCs w:val="22"/>
        </w:rPr>
        <w:tab/>
      </w:r>
      <w:r w:rsidRPr="00E26CA7">
        <w:rPr>
          <w:rFonts w:asciiTheme="minorHAnsi" w:hAnsiTheme="minorHAnsi" w:cstheme="minorHAnsi"/>
          <w:sz w:val="22"/>
          <w:szCs w:val="22"/>
        </w:rPr>
        <w:t>Nie określono zasad postępowania z pacjentem zgodnie z wymogami standardu.</w:t>
      </w:r>
    </w:p>
    <w:p w:rsidR="00C156D4" w:rsidRPr="00E26CA7" w:rsidRDefault="00C156D4" w:rsidP="00C156D4">
      <w:pPr>
        <w:pStyle w:val="Tekstpodstawowy"/>
        <w:rPr>
          <w:rFonts w:asciiTheme="minorHAnsi" w:hAnsiTheme="minorHAnsi" w:cstheme="minorHAnsi"/>
          <w:sz w:val="22"/>
          <w:szCs w:val="22"/>
        </w:rPr>
      </w:pPr>
    </w:p>
    <w:p w:rsidR="00C156D4" w:rsidRPr="00E26CA7" w:rsidRDefault="00C156D4" w:rsidP="00C156D4">
      <w:pPr>
        <w:pStyle w:val="Heading9"/>
        <w:jc w:val="left"/>
        <w:rPr>
          <w:rFonts w:asciiTheme="minorHAnsi" w:hAnsiTheme="minorHAnsi" w:cstheme="minorHAnsi"/>
          <w:sz w:val="22"/>
          <w:szCs w:val="22"/>
        </w:rPr>
      </w:pPr>
      <w:r w:rsidRPr="00E26CA7">
        <w:rPr>
          <w:rFonts w:asciiTheme="minorHAnsi" w:hAnsiTheme="minorHAnsi" w:cstheme="minorHAnsi"/>
          <w:color w:val="072160"/>
          <w:sz w:val="22"/>
          <w:szCs w:val="22"/>
        </w:rPr>
        <w:t>Waga standardu – 0,5</w:t>
      </w:r>
    </w:p>
    <w:p w:rsidR="00427D73" w:rsidRDefault="00C156D4"/>
    <w:sectPr w:rsidR="00427D73" w:rsidSect="00980B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F61D6E"/>
    <w:multiLevelType w:val="hybridMultilevel"/>
    <w:tmpl w:val="71D67AFC"/>
    <w:lvl w:ilvl="0" w:tplc="B00AFF82">
      <w:start w:val="1"/>
      <w:numFmt w:val="decimal"/>
      <w:lvlText w:val="%1."/>
      <w:lvlJc w:val="left"/>
      <w:pPr>
        <w:ind w:left="1842" w:hanging="329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EAE3938">
      <w:start w:val="1"/>
      <w:numFmt w:val="decimal"/>
      <w:lvlText w:val="%2)"/>
      <w:lvlJc w:val="left"/>
      <w:pPr>
        <w:ind w:left="2182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666CA78A">
      <w:numFmt w:val="bullet"/>
      <w:lvlText w:val="•"/>
      <w:lvlJc w:val="left"/>
      <w:pPr>
        <w:ind w:left="3040" w:hanging="344"/>
      </w:pPr>
      <w:rPr>
        <w:rFonts w:hint="default"/>
        <w:lang w:val="pl-PL" w:eastAsia="en-US" w:bidi="ar-SA"/>
      </w:rPr>
    </w:lvl>
    <w:lvl w:ilvl="3" w:tplc="F1E6CDC2">
      <w:numFmt w:val="bullet"/>
      <w:lvlText w:val="•"/>
      <w:lvlJc w:val="left"/>
      <w:pPr>
        <w:ind w:left="3900" w:hanging="344"/>
      </w:pPr>
      <w:rPr>
        <w:rFonts w:hint="default"/>
        <w:lang w:val="pl-PL" w:eastAsia="en-US" w:bidi="ar-SA"/>
      </w:rPr>
    </w:lvl>
    <w:lvl w:ilvl="4" w:tplc="317E1AEA">
      <w:numFmt w:val="bullet"/>
      <w:lvlText w:val="•"/>
      <w:lvlJc w:val="left"/>
      <w:pPr>
        <w:ind w:left="4760" w:hanging="344"/>
      </w:pPr>
      <w:rPr>
        <w:rFonts w:hint="default"/>
        <w:lang w:val="pl-PL" w:eastAsia="en-US" w:bidi="ar-SA"/>
      </w:rPr>
    </w:lvl>
    <w:lvl w:ilvl="5" w:tplc="06ECD724">
      <w:numFmt w:val="bullet"/>
      <w:lvlText w:val="•"/>
      <w:lvlJc w:val="left"/>
      <w:pPr>
        <w:ind w:left="5620" w:hanging="344"/>
      </w:pPr>
      <w:rPr>
        <w:rFonts w:hint="default"/>
        <w:lang w:val="pl-PL" w:eastAsia="en-US" w:bidi="ar-SA"/>
      </w:rPr>
    </w:lvl>
    <w:lvl w:ilvl="6" w:tplc="26F83A92">
      <w:numFmt w:val="bullet"/>
      <w:lvlText w:val="•"/>
      <w:lvlJc w:val="left"/>
      <w:pPr>
        <w:ind w:left="6480" w:hanging="344"/>
      </w:pPr>
      <w:rPr>
        <w:rFonts w:hint="default"/>
        <w:lang w:val="pl-PL" w:eastAsia="en-US" w:bidi="ar-SA"/>
      </w:rPr>
    </w:lvl>
    <w:lvl w:ilvl="7" w:tplc="809EBD22">
      <w:numFmt w:val="bullet"/>
      <w:lvlText w:val="•"/>
      <w:lvlJc w:val="left"/>
      <w:pPr>
        <w:ind w:left="7341" w:hanging="344"/>
      </w:pPr>
      <w:rPr>
        <w:rFonts w:hint="default"/>
        <w:lang w:val="pl-PL" w:eastAsia="en-US" w:bidi="ar-SA"/>
      </w:rPr>
    </w:lvl>
    <w:lvl w:ilvl="8" w:tplc="3124791E">
      <w:numFmt w:val="bullet"/>
      <w:lvlText w:val="•"/>
      <w:lvlJc w:val="left"/>
      <w:pPr>
        <w:ind w:left="8201" w:hanging="344"/>
      </w:pPr>
      <w:rPr>
        <w:rFonts w:hint="default"/>
        <w:lang w:val="pl-PL" w:eastAsia="en-US" w:bidi="ar-SA"/>
      </w:rPr>
    </w:lvl>
  </w:abstractNum>
  <w:abstractNum w:abstractNumId="1">
    <w:nsid w:val="72F749AA"/>
    <w:multiLevelType w:val="hybridMultilevel"/>
    <w:tmpl w:val="6D6AE3EE"/>
    <w:lvl w:ilvl="0" w:tplc="CFCEB31C">
      <w:start w:val="1"/>
      <w:numFmt w:val="decimal"/>
      <w:lvlText w:val="%1)"/>
      <w:lvlJc w:val="left"/>
      <w:pPr>
        <w:ind w:left="2182" w:hanging="344"/>
        <w:jc w:val="left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C8202918">
      <w:numFmt w:val="bullet"/>
      <w:lvlText w:val="•"/>
      <w:lvlJc w:val="left"/>
      <w:pPr>
        <w:ind w:left="2954" w:hanging="344"/>
      </w:pPr>
      <w:rPr>
        <w:rFonts w:hint="default"/>
        <w:lang w:val="pl-PL" w:eastAsia="en-US" w:bidi="ar-SA"/>
      </w:rPr>
    </w:lvl>
    <w:lvl w:ilvl="2" w:tplc="F72A9820">
      <w:numFmt w:val="bullet"/>
      <w:lvlText w:val="•"/>
      <w:lvlJc w:val="left"/>
      <w:pPr>
        <w:ind w:left="3728" w:hanging="344"/>
      </w:pPr>
      <w:rPr>
        <w:rFonts w:hint="default"/>
        <w:lang w:val="pl-PL" w:eastAsia="en-US" w:bidi="ar-SA"/>
      </w:rPr>
    </w:lvl>
    <w:lvl w:ilvl="3" w:tplc="8DA44A5E">
      <w:numFmt w:val="bullet"/>
      <w:lvlText w:val="•"/>
      <w:lvlJc w:val="left"/>
      <w:pPr>
        <w:ind w:left="4502" w:hanging="344"/>
      </w:pPr>
      <w:rPr>
        <w:rFonts w:hint="default"/>
        <w:lang w:val="pl-PL" w:eastAsia="en-US" w:bidi="ar-SA"/>
      </w:rPr>
    </w:lvl>
    <w:lvl w:ilvl="4" w:tplc="47E81FBA">
      <w:numFmt w:val="bullet"/>
      <w:lvlText w:val="•"/>
      <w:lvlJc w:val="left"/>
      <w:pPr>
        <w:ind w:left="5276" w:hanging="344"/>
      </w:pPr>
      <w:rPr>
        <w:rFonts w:hint="default"/>
        <w:lang w:val="pl-PL" w:eastAsia="en-US" w:bidi="ar-SA"/>
      </w:rPr>
    </w:lvl>
    <w:lvl w:ilvl="5" w:tplc="78445484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6" w:tplc="A926AA04">
      <w:numFmt w:val="bullet"/>
      <w:lvlText w:val="•"/>
      <w:lvlJc w:val="left"/>
      <w:pPr>
        <w:ind w:left="6824" w:hanging="344"/>
      </w:pPr>
      <w:rPr>
        <w:rFonts w:hint="default"/>
        <w:lang w:val="pl-PL" w:eastAsia="en-US" w:bidi="ar-SA"/>
      </w:rPr>
    </w:lvl>
    <w:lvl w:ilvl="7" w:tplc="E8D4ABA0">
      <w:numFmt w:val="bullet"/>
      <w:lvlText w:val="•"/>
      <w:lvlJc w:val="left"/>
      <w:pPr>
        <w:ind w:left="7599" w:hanging="344"/>
      </w:pPr>
      <w:rPr>
        <w:rFonts w:hint="default"/>
        <w:lang w:val="pl-PL" w:eastAsia="en-US" w:bidi="ar-SA"/>
      </w:rPr>
    </w:lvl>
    <w:lvl w:ilvl="8" w:tplc="BC04870C">
      <w:numFmt w:val="bullet"/>
      <w:lvlText w:val="•"/>
      <w:lvlJc w:val="left"/>
      <w:pPr>
        <w:ind w:left="8373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C156D4"/>
    <w:rsid w:val="000745AD"/>
    <w:rsid w:val="00682510"/>
    <w:rsid w:val="00980B91"/>
    <w:rsid w:val="00C156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C156D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C156D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C156D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C156D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C156D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C156D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C156D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836</Characters>
  <Application>Microsoft Office Word</Application>
  <DocSecurity>0</DocSecurity>
  <Lines>6</Lines>
  <Paragraphs>1</Paragraphs>
  <ScaleCrop>false</ScaleCrop>
  <Company/>
  <LinksUpToDate>false</LinksUpToDate>
  <CharactersWithSpaces>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2025-07-04T09:13:00Z</dcterms:created>
  <dcterms:modified xsi:type="dcterms:W3CDTF">2025-07-04T09:13:00Z</dcterms:modified>
</cp:coreProperties>
</file>