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5E7E" w:rsidRPr="00E26CA7" w:rsidRDefault="00A75E7E" w:rsidP="00A75E7E">
      <w:pPr>
        <w:pStyle w:val="Tekstpodstawowy"/>
        <w:rPr>
          <w:rFonts w:asciiTheme="minorHAnsi" w:hAnsiTheme="minorHAnsi" w:cstheme="minorHAnsi"/>
          <w:b/>
          <w:sz w:val="22"/>
          <w:szCs w:val="22"/>
        </w:rPr>
      </w:pPr>
    </w:p>
    <w:p w:rsidR="00A75E7E" w:rsidRPr="00E26CA7" w:rsidRDefault="003E667A" w:rsidP="00A75E7E">
      <w:pPr>
        <w:pStyle w:val="Heading4"/>
        <w:ind w:right="207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69" o:spid="_x0000_s1026" type="#_x0000_t202" style="position:absolute;left:0;text-align:left;margin-left:85.05pt;margin-top:-7.85pt;width:45.4pt;height:58.05pt;z-index:251660288;mso-position-horizontal-relative:page" fillcolor="#bee3eb" stroked="f">
            <v:textbox inset="0,0,0,0">
              <w:txbxContent>
                <w:p w:rsidR="00A75E7E" w:rsidRDefault="00A75E7E" w:rsidP="00A75E7E">
                  <w:pPr>
                    <w:pStyle w:val="Tekstpodstawowy"/>
                    <w:spacing w:before="143"/>
                    <w:rPr>
                      <w:color w:val="000000"/>
                      <w:sz w:val="24"/>
                    </w:rPr>
                  </w:pPr>
                </w:p>
                <w:p w:rsidR="00A75E7E" w:rsidRDefault="00A75E7E" w:rsidP="00A75E7E">
                  <w:pPr>
                    <w:ind w:left="170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DO</w:t>
                  </w:r>
                  <w:r>
                    <w:rPr>
                      <w:rFonts w:ascii="Arial Black"/>
                      <w:color w:val="072160"/>
                      <w:spacing w:val="-11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6</w:t>
                  </w:r>
                </w:p>
              </w:txbxContent>
            </v:textbox>
            <w10:wrap anchorx="page"/>
          </v:shape>
        </w:pict>
      </w:r>
      <w:r w:rsidR="00A75E7E" w:rsidRPr="00E26CA7">
        <w:rPr>
          <w:rFonts w:asciiTheme="minorHAnsi" w:hAnsiTheme="minorHAnsi" w:cstheme="minorHAnsi"/>
          <w:color w:val="072160"/>
          <w:sz w:val="22"/>
          <w:szCs w:val="22"/>
        </w:rPr>
        <w:t>W PRACOWNIACH WYKONUJE SIĘ ANALIZĘ BADAŃ POWTÓRZONYCH (STANDARD</w:t>
      </w:r>
    </w:p>
    <w:p w:rsidR="00A75E7E" w:rsidRPr="00E26CA7" w:rsidRDefault="00A75E7E" w:rsidP="00A75E7E">
      <w:pPr>
        <w:pStyle w:val="Heading4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MOŻE BYĆ WYŁĄCZONY).</w:t>
      </w:r>
    </w:p>
    <w:p w:rsidR="00A75E7E" w:rsidRPr="00E26CA7" w:rsidRDefault="00A75E7E" w:rsidP="00A75E7E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A75E7E" w:rsidRPr="00E26CA7" w:rsidRDefault="00A75E7E" w:rsidP="00A75E7E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Opis wymagań</w:t>
      </w:r>
    </w:p>
    <w:p w:rsidR="00A75E7E" w:rsidRPr="00E26CA7" w:rsidRDefault="00A75E7E" w:rsidP="00A75E7E">
      <w:pPr>
        <w:pStyle w:val="Tekstpodstawowy"/>
        <w:ind w:left="1842" w:right="139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 xml:space="preserve">W pracowniach należy wprowadzić kryteria, które stanowią podstawę do prawidłowej diagnostyki. Wszystkie badania wymagające powtórzenia powinny być gromadzone i poddawane okresowej analizie z udziałem osób wykonujących badania. Analiza takich badań powinna </w:t>
      </w:r>
      <w:r w:rsidR="00DE7B13">
        <w:rPr>
          <w:rFonts w:asciiTheme="minorHAnsi" w:hAnsiTheme="minorHAnsi" w:cstheme="minorHAnsi"/>
          <w:sz w:val="22"/>
          <w:szCs w:val="22"/>
        </w:rPr>
        <w:t>być przeprowa</w:t>
      </w:r>
      <w:r w:rsidRPr="00E26CA7">
        <w:rPr>
          <w:rFonts w:asciiTheme="minorHAnsi" w:hAnsiTheme="minorHAnsi" w:cstheme="minorHAnsi"/>
          <w:sz w:val="22"/>
          <w:szCs w:val="22"/>
        </w:rPr>
        <w:t>dzana nie rzadziej niż raz na kwartał. Wyniki analizy oraz wnioski powinny być dokumentowane. Ważne jest, aby analiza zawierała informacje na temat liczby zleconych i wykonanych ekspozycji, gdyż liczba ekspozycji nie jest równoważna z liczbą zleconych projekcji. W radiologii cyfrowej (zabiegowej) istotne jest monitorowanie dawki otrzymanej przez pacjenta, w celu ograniczania ekspozycji niezamierzonej.</w:t>
      </w:r>
    </w:p>
    <w:p w:rsidR="00A75E7E" w:rsidRPr="00E26CA7" w:rsidRDefault="00A75E7E" w:rsidP="00A75E7E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A75E7E" w:rsidRPr="00E26CA7" w:rsidRDefault="00A75E7E" w:rsidP="00A75E7E">
      <w:pPr>
        <w:pStyle w:val="Tekstpodstawowy"/>
        <w:ind w:left="184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Przez badania powtórzone rozumie się w szczególności:</w:t>
      </w:r>
    </w:p>
    <w:p w:rsidR="00A75E7E" w:rsidRPr="00E26CA7" w:rsidRDefault="00A75E7E" w:rsidP="00A75E7E">
      <w:pPr>
        <w:pStyle w:val="Akapitzlist"/>
        <w:numPr>
          <w:ilvl w:val="1"/>
          <w:numId w:val="1"/>
        </w:numPr>
        <w:tabs>
          <w:tab w:val="left" w:pos="2182"/>
        </w:tabs>
        <w:spacing w:line="240" w:lineRule="auto"/>
        <w:ind w:right="139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badanie o ograniczonej wartości diagnostycznej, które wymaga ponownego wykonania lub uzupełnienia o inne badanie;</w:t>
      </w:r>
    </w:p>
    <w:p w:rsidR="00A75E7E" w:rsidRPr="00E26CA7" w:rsidRDefault="00A75E7E" w:rsidP="00A75E7E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badania powtórzone z uwagi na błędne dwukrotne zlecenie (np. zmiana dyżuru);</w:t>
      </w:r>
    </w:p>
    <w:p w:rsidR="00A75E7E" w:rsidRPr="00E26CA7" w:rsidRDefault="00A75E7E" w:rsidP="00A75E7E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badanie po urazie przed i po założeniu gipsu lub przed i po operacji (powtórzenie zaplanowane).</w:t>
      </w:r>
    </w:p>
    <w:p w:rsidR="00A75E7E" w:rsidRPr="00E26CA7" w:rsidRDefault="00A75E7E" w:rsidP="00A75E7E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A75E7E" w:rsidRPr="00E26CA7" w:rsidRDefault="00A75E7E" w:rsidP="00A75E7E">
      <w:pPr>
        <w:pStyle w:val="Tekstpodstawowy"/>
        <w:ind w:left="1842" w:right="139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W szpitalu istnieje system wewnętrznej komunikacji w zakresie służącym wyeliminowaniu badań powtórzonych.</w:t>
      </w:r>
    </w:p>
    <w:p w:rsidR="00A75E7E" w:rsidRPr="00E26CA7" w:rsidRDefault="00A75E7E" w:rsidP="00A75E7E">
      <w:pPr>
        <w:pStyle w:val="Heading6"/>
        <w:numPr>
          <w:ilvl w:val="0"/>
          <w:numId w:val="1"/>
        </w:numPr>
        <w:tabs>
          <w:tab w:val="left" w:pos="1841"/>
        </w:tabs>
        <w:ind w:left="1841" w:hanging="374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Sposób sprawdzenia</w:t>
      </w:r>
    </w:p>
    <w:p w:rsidR="00A75E7E" w:rsidRPr="00E26CA7" w:rsidRDefault="00A75E7E" w:rsidP="00A75E7E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przegląd dokumentacji szpitala;</w:t>
      </w:r>
    </w:p>
    <w:p w:rsidR="00A75E7E" w:rsidRPr="00E26CA7" w:rsidRDefault="00A75E7E" w:rsidP="00A75E7E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wywiad z kierownikiem;</w:t>
      </w:r>
    </w:p>
    <w:p w:rsidR="00A75E7E" w:rsidRPr="00E26CA7" w:rsidRDefault="00A75E7E" w:rsidP="00A75E7E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wywiad z personelem.</w:t>
      </w:r>
    </w:p>
    <w:p w:rsidR="00A75E7E" w:rsidRPr="00E26CA7" w:rsidRDefault="00A75E7E" w:rsidP="00A75E7E">
      <w:pPr>
        <w:pStyle w:val="Heading6"/>
        <w:numPr>
          <w:ilvl w:val="0"/>
          <w:numId w:val="1"/>
        </w:numPr>
        <w:tabs>
          <w:tab w:val="left" w:pos="1841"/>
        </w:tabs>
        <w:ind w:left="1841" w:hanging="382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Ocena punktowa</w:t>
      </w:r>
    </w:p>
    <w:p w:rsidR="00A75E7E" w:rsidRPr="00E26CA7" w:rsidRDefault="00A75E7E" w:rsidP="00A75E7E">
      <w:pPr>
        <w:pStyle w:val="Tekstpodstawowy"/>
        <w:tabs>
          <w:tab w:val="left" w:pos="2182"/>
        </w:tabs>
        <w:ind w:left="2182" w:right="140" w:hanging="341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5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W pracowniach wykonywana jest analiza badań powtór</w:t>
      </w:r>
      <w:r w:rsidR="007C3FEA">
        <w:rPr>
          <w:rFonts w:asciiTheme="minorHAnsi" w:hAnsiTheme="minorHAnsi" w:cstheme="minorHAnsi"/>
          <w:sz w:val="22"/>
          <w:szCs w:val="22"/>
        </w:rPr>
        <w:t>zonych zgodnie z wymogami stan</w:t>
      </w:r>
      <w:r w:rsidRPr="00E26CA7">
        <w:rPr>
          <w:rFonts w:asciiTheme="minorHAnsi" w:hAnsiTheme="minorHAnsi" w:cstheme="minorHAnsi"/>
          <w:sz w:val="22"/>
          <w:szCs w:val="22"/>
        </w:rPr>
        <w:t>dardu.</w:t>
      </w:r>
    </w:p>
    <w:p w:rsidR="00A75E7E" w:rsidRPr="00E26CA7" w:rsidRDefault="00A75E7E" w:rsidP="00A75E7E">
      <w:pPr>
        <w:pStyle w:val="Tekstpodstawowy"/>
        <w:tabs>
          <w:tab w:val="left" w:pos="2182"/>
        </w:tabs>
        <w:ind w:left="2182" w:right="145" w:hanging="341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3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Szpital podejmuje intensywne działania mające na celu spełnienie standardu (co najmniej 60% kamieni milowych jest spełnionych).</w:t>
      </w:r>
    </w:p>
    <w:p w:rsidR="00A75E7E" w:rsidRPr="00E26CA7" w:rsidRDefault="00A75E7E" w:rsidP="00A75E7E">
      <w:pPr>
        <w:pStyle w:val="Tekstpodstawowy"/>
        <w:tabs>
          <w:tab w:val="left" w:pos="2182"/>
        </w:tabs>
        <w:ind w:left="184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1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W pracowniach nie wykonuje się analizy badań powtórzonych zgodnie z wymogami standardu.</w:t>
      </w:r>
    </w:p>
    <w:p w:rsidR="00A75E7E" w:rsidRPr="00E26CA7" w:rsidRDefault="00A75E7E" w:rsidP="00A75E7E">
      <w:pPr>
        <w:pStyle w:val="Heading6"/>
        <w:numPr>
          <w:ilvl w:val="0"/>
          <w:numId w:val="1"/>
        </w:numPr>
        <w:tabs>
          <w:tab w:val="left" w:pos="1842"/>
        </w:tabs>
        <w:ind w:hanging="400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Kamienie milowe</w:t>
      </w:r>
    </w:p>
    <w:p w:rsidR="00A75E7E" w:rsidRPr="00E26CA7" w:rsidRDefault="00A75E7E" w:rsidP="00A75E7E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 szpitalu gromadzone są informacje odnośnie badań, które zostały powtórzone;</w:t>
      </w:r>
    </w:p>
    <w:p w:rsidR="00A75E7E" w:rsidRPr="00E26CA7" w:rsidRDefault="00A75E7E" w:rsidP="00A75E7E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analiza badań powtórzonych odbywa się nie rzadziej niż raz na kwartał;</w:t>
      </w:r>
    </w:p>
    <w:p w:rsidR="00A75E7E" w:rsidRPr="00A75E7E" w:rsidRDefault="00A75E7E" w:rsidP="00A75E7E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1615" w:right="706"/>
        <w:rPr>
          <w:rFonts w:asciiTheme="minorHAnsi" w:hAnsiTheme="minorHAnsi" w:cstheme="minorHAnsi"/>
        </w:rPr>
      </w:pPr>
      <w:r w:rsidRPr="00A75E7E">
        <w:rPr>
          <w:rFonts w:asciiTheme="minorHAnsi" w:hAnsiTheme="minorHAnsi" w:cstheme="minorHAnsi"/>
        </w:rPr>
        <w:t xml:space="preserve">w analizie badań powtórzonych uczestniczą osoby, które wykonywały te badania; </w:t>
      </w:r>
      <w:r w:rsidR="003E667A">
        <w:rPr>
          <w:rFonts w:asciiTheme="minorHAnsi" w:hAnsiTheme="minorHAnsi" w:cstheme="minorHAnsi"/>
        </w:rPr>
        <w:pict>
          <v:rect id="docshape1570" o:spid="_x0000_s1027" style="position:absolute;left:0;text-align:left;margin-left:0;margin-top:187.15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A75E7E">
        <w:rPr>
          <w:rFonts w:asciiTheme="minorHAnsi" w:hAnsiTheme="minorHAnsi" w:cstheme="minorHAnsi"/>
        </w:rPr>
        <w:t>analizy badań powtórzonych uwzględniają informacje na t</w:t>
      </w:r>
      <w:r w:rsidR="007C3FEA">
        <w:rPr>
          <w:rFonts w:asciiTheme="minorHAnsi" w:hAnsiTheme="minorHAnsi" w:cstheme="minorHAnsi"/>
        </w:rPr>
        <w:t>emat liczby zleconych i wykona</w:t>
      </w:r>
      <w:r w:rsidRPr="00A75E7E">
        <w:rPr>
          <w:rFonts w:asciiTheme="minorHAnsi" w:hAnsiTheme="minorHAnsi" w:cstheme="minorHAnsi"/>
        </w:rPr>
        <w:t>nych ekspozycji;</w:t>
      </w:r>
    </w:p>
    <w:p w:rsidR="00A75E7E" w:rsidRPr="00E26CA7" w:rsidRDefault="00A75E7E" w:rsidP="00A75E7E">
      <w:pPr>
        <w:pStyle w:val="Akapitzlist"/>
        <w:numPr>
          <w:ilvl w:val="1"/>
          <w:numId w:val="1"/>
        </w:numPr>
        <w:tabs>
          <w:tab w:val="left" w:pos="1615"/>
        </w:tabs>
        <w:spacing w:line="240" w:lineRule="auto"/>
        <w:ind w:left="1615" w:right="706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analizy badań powtórzonych uwzględniają badanie o ograniczonej wartości diagnostycznej, które wymaga ponownego wykonania lub uzupełnienia o inne badanie;</w:t>
      </w:r>
    </w:p>
    <w:p w:rsidR="00A75E7E" w:rsidRPr="00E26CA7" w:rsidRDefault="00A75E7E" w:rsidP="00A75E7E">
      <w:pPr>
        <w:pStyle w:val="Akapitzlist"/>
        <w:numPr>
          <w:ilvl w:val="1"/>
          <w:numId w:val="1"/>
        </w:numPr>
        <w:tabs>
          <w:tab w:val="left" w:pos="1615"/>
        </w:tabs>
        <w:spacing w:line="240" w:lineRule="auto"/>
        <w:ind w:left="1615" w:right="70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analizy badań powtórzonych uwzględniają badania powtórzone z uwagi na błędne dwukrotne zlecenie (np. zmiana dyżuru);</w:t>
      </w:r>
    </w:p>
    <w:p w:rsidR="00A75E7E" w:rsidRPr="00E26CA7" w:rsidRDefault="00A75E7E" w:rsidP="00A75E7E">
      <w:pPr>
        <w:pStyle w:val="Akapitzlist"/>
        <w:numPr>
          <w:ilvl w:val="1"/>
          <w:numId w:val="1"/>
        </w:numPr>
        <w:tabs>
          <w:tab w:val="left" w:pos="1615"/>
        </w:tabs>
        <w:spacing w:line="240" w:lineRule="auto"/>
        <w:ind w:left="1615" w:right="706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 xml:space="preserve">analizy badań powtórzonych uwzględniają badanie po urazie przed i po </w:t>
      </w:r>
      <w:r w:rsidRPr="00E26CA7">
        <w:rPr>
          <w:rFonts w:asciiTheme="minorHAnsi" w:hAnsiTheme="minorHAnsi" w:cstheme="minorHAnsi"/>
        </w:rPr>
        <w:lastRenderedPageBreak/>
        <w:t>założeniu gipsu lub przed i po operacji (powtórzenie zaplanowane);</w:t>
      </w:r>
    </w:p>
    <w:p w:rsidR="00A75E7E" w:rsidRPr="00E26CA7" w:rsidRDefault="00A75E7E" w:rsidP="00A75E7E">
      <w:pPr>
        <w:pStyle w:val="Akapitzlist"/>
        <w:numPr>
          <w:ilvl w:val="1"/>
          <w:numId w:val="1"/>
        </w:numPr>
        <w:tabs>
          <w:tab w:val="left" w:pos="1615"/>
        </w:tabs>
        <w:spacing w:line="240" w:lineRule="auto"/>
        <w:ind w:left="1615" w:right="704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 szpitalu istnieje system wewnętrznej komunikacji w zakresie służącym wyeliminowaniu badań powtórzonych;</w:t>
      </w:r>
    </w:p>
    <w:p w:rsidR="00A75E7E" w:rsidRPr="00E26CA7" w:rsidRDefault="00A75E7E" w:rsidP="00A75E7E">
      <w:pPr>
        <w:pStyle w:val="Akapitzlist"/>
        <w:numPr>
          <w:ilvl w:val="1"/>
          <w:numId w:val="1"/>
        </w:numPr>
        <w:tabs>
          <w:tab w:val="left" w:pos="1615"/>
        </w:tabs>
        <w:spacing w:line="240" w:lineRule="auto"/>
        <w:ind w:left="1615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wyniki analiz badań powtórzonych są dokumentowane;</w:t>
      </w:r>
    </w:p>
    <w:p w:rsidR="00A75E7E" w:rsidRPr="00E26CA7" w:rsidRDefault="00A75E7E" w:rsidP="00A75E7E">
      <w:pPr>
        <w:pStyle w:val="Akapitzlist"/>
        <w:numPr>
          <w:ilvl w:val="1"/>
          <w:numId w:val="1"/>
        </w:numPr>
        <w:tabs>
          <w:tab w:val="left" w:pos="1615"/>
        </w:tabs>
        <w:spacing w:line="240" w:lineRule="auto"/>
        <w:ind w:left="1615" w:hanging="454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wnioski z analiz badań powtórzonych są dokumentowane.</w:t>
      </w:r>
    </w:p>
    <w:p w:rsidR="00A75E7E" w:rsidRPr="00E26CA7" w:rsidRDefault="00A75E7E" w:rsidP="00A75E7E">
      <w:pPr>
        <w:pStyle w:val="Tekstpodstawowy"/>
        <w:ind w:left="1275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Co najmniej 60% stanowi 6 kamieni milowych.</w:t>
      </w:r>
    </w:p>
    <w:p w:rsidR="00A75E7E" w:rsidRPr="00E26CA7" w:rsidRDefault="00A75E7E" w:rsidP="00A75E7E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A75E7E" w:rsidRPr="00E26CA7" w:rsidRDefault="00A75E7E" w:rsidP="00A75E7E">
      <w:pPr>
        <w:pStyle w:val="Heading9"/>
        <w:ind w:left="1275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Waga standardu – 0,5</w:t>
      </w:r>
    </w:p>
    <w:p w:rsidR="00427D73" w:rsidRDefault="007C3FEA"/>
    <w:sectPr w:rsidR="00427D73" w:rsidSect="00980B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4A5D3E"/>
    <w:multiLevelType w:val="hybridMultilevel"/>
    <w:tmpl w:val="B2389CA2"/>
    <w:lvl w:ilvl="0" w:tplc="9D401686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95B84496">
      <w:start w:val="1"/>
      <w:numFmt w:val="decimal"/>
      <w:lvlText w:val="%2)"/>
      <w:lvlJc w:val="left"/>
      <w:pPr>
        <w:ind w:left="2182" w:hanging="344"/>
        <w:jc w:val="lef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9BFA3506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7044645C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9C5E3CCE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253CF8B4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D39C90EE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A4E46824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8F5AFB6C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425"/>
  <w:characterSpacingControl w:val="doNotCompress"/>
  <w:compat/>
  <w:rsids>
    <w:rsidRoot w:val="00A75E7E"/>
    <w:rsid w:val="000745AD"/>
    <w:rsid w:val="003E667A"/>
    <w:rsid w:val="00682510"/>
    <w:rsid w:val="007C3FEA"/>
    <w:rsid w:val="00980B91"/>
    <w:rsid w:val="00A75E7E"/>
    <w:rsid w:val="00DE7B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A75E7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A75E7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A75E7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A75E7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A75E7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A75E7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A75E7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2025-07-07T07:44:00Z</dcterms:created>
  <dcterms:modified xsi:type="dcterms:W3CDTF">2025-07-07T07:44:00Z</dcterms:modified>
</cp:coreProperties>
</file>