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31D" w:rsidRPr="00E26CA7" w:rsidRDefault="00C94A7A" w:rsidP="00E0631D">
      <w:pPr>
        <w:pStyle w:val="Heading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72" o:spid="_x0000_s1026" type="#_x0000_t202" style="position:absolute;left:0;text-align:left;margin-left:85.05pt;margin-top:.15pt;width:45.4pt;height:63.35pt;z-index:251660288;mso-position-horizontal-relative:page" fillcolor="#bee3eb" stroked="f">
            <v:textbox inset="0,0,0,0">
              <w:txbxContent>
                <w:p w:rsidR="00E0631D" w:rsidRDefault="00E0631D" w:rsidP="00E0631D">
                  <w:pPr>
                    <w:pStyle w:val="Tekstpodstawowy"/>
                    <w:spacing w:before="196"/>
                    <w:rPr>
                      <w:color w:val="000000"/>
                      <w:sz w:val="24"/>
                    </w:rPr>
                  </w:pPr>
                </w:p>
                <w:p w:rsidR="00E0631D" w:rsidRDefault="00E0631D" w:rsidP="00E0631D">
                  <w:pPr>
                    <w:ind w:left="168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DO</w:t>
                  </w:r>
                  <w:r>
                    <w:rPr>
                      <w:rFonts w:ascii="Arial Black"/>
                      <w:color w:val="072160"/>
                      <w:spacing w:val="-11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8</w:t>
                  </w:r>
                </w:p>
              </w:txbxContent>
            </v:textbox>
            <w10:wrap anchorx="page"/>
          </v:shape>
        </w:pict>
      </w:r>
      <w:r>
        <w:rPr>
          <w:rFonts w:asciiTheme="minorHAnsi" w:hAnsiTheme="minorHAnsi" w:cstheme="minorHAnsi"/>
          <w:sz w:val="22"/>
          <w:szCs w:val="22"/>
        </w:rPr>
        <w:pict>
          <v:shape id="docshape1573" o:spid="_x0000_s1027" type="#_x0000_t202" style="position:absolute;left:0;text-align:left;margin-left:568.95pt;margin-top:186.1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E0631D" w:rsidRDefault="00E0631D" w:rsidP="00E0631D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66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DO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="00E0631D" w:rsidRPr="00E26CA7">
        <w:rPr>
          <w:rFonts w:asciiTheme="minorHAnsi" w:hAnsiTheme="minorHAnsi" w:cstheme="minorHAnsi"/>
          <w:color w:val="072160"/>
          <w:sz w:val="22"/>
          <w:szCs w:val="22"/>
        </w:rPr>
        <w:t>W PRACOWNI PRZEPROWADZA SIĘ OCENĘ</w:t>
      </w:r>
    </w:p>
    <w:p w:rsidR="00E0631D" w:rsidRPr="00E26CA7" w:rsidRDefault="00E0631D" w:rsidP="00E0631D">
      <w:pPr>
        <w:pStyle w:val="Heading4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ZGODNOŚCI OPISÓW WYKONYWANYCH BADAŃ (STANDARD MOŻE BYĆ WYŁĄCZONY).</w:t>
      </w:r>
    </w:p>
    <w:p w:rsidR="00E0631D" w:rsidRPr="00E26CA7" w:rsidRDefault="00E0631D" w:rsidP="00E0631D">
      <w:pPr>
        <w:pStyle w:val="Heading6"/>
        <w:numPr>
          <w:ilvl w:val="0"/>
          <w:numId w:val="1"/>
        </w:numPr>
        <w:tabs>
          <w:tab w:val="left" w:pos="1842"/>
        </w:tabs>
        <w:ind w:hanging="328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Opis wymagań</w:t>
      </w:r>
    </w:p>
    <w:p w:rsidR="00E0631D" w:rsidRPr="00E26CA7" w:rsidRDefault="00E0631D" w:rsidP="00E0631D">
      <w:pPr>
        <w:pStyle w:val="Tekstpodstawowy"/>
        <w:ind w:left="1842" w:right="140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>Wysoki poziom zgodności interpretacji uzyskiwany przez poszczególnych lekarzy opisujących badania stanowi kluczowy element zapewnienia jakości diagnostyki obrazowej.</w:t>
      </w:r>
    </w:p>
    <w:p w:rsidR="00E0631D" w:rsidRPr="00E26CA7" w:rsidRDefault="00E0631D" w:rsidP="00E0631D">
      <w:pPr>
        <w:pStyle w:val="Tekstpodstawowy"/>
        <w:ind w:left="1842" w:right="139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>W tym celu raz na kwartał przeprowadza się testy oceny zgodności opisów badań przez lekarzy pracowni i dotyczących 0,1% liczby tych badań i obejmujący wszystkie podstawowe zakresy badań podlegających rejestracji i archiwizacji w systemie PACS. Wyniki oceny winny służyć kształceniu kompetencji zespołu, powinny być omawiane w gronie biorących udział w teście.</w:t>
      </w:r>
    </w:p>
    <w:p w:rsidR="00E0631D" w:rsidRPr="00E26CA7" w:rsidRDefault="00E0631D" w:rsidP="00E0631D">
      <w:pPr>
        <w:pStyle w:val="Tekstpodstawowy"/>
        <w:ind w:left="1842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>Wykonywanie testów zgodności opisów powinno być udokumentowane.</w:t>
      </w:r>
    </w:p>
    <w:p w:rsidR="00E0631D" w:rsidRPr="00E26CA7" w:rsidRDefault="00E0631D" w:rsidP="00E0631D">
      <w:pPr>
        <w:pStyle w:val="Heading6"/>
        <w:numPr>
          <w:ilvl w:val="0"/>
          <w:numId w:val="1"/>
        </w:numPr>
        <w:tabs>
          <w:tab w:val="left" w:pos="1841"/>
        </w:tabs>
        <w:ind w:left="1841" w:hanging="374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Sposób sprawdzenia</w:t>
      </w:r>
    </w:p>
    <w:p w:rsidR="00E0631D" w:rsidRPr="00E26CA7" w:rsidRDefault="00E0631D" w:rsidP="00E0631D">
      <w:pPr>
        <w:pStyle w:val="Akapitzlist"/>
        <w:numPr>
          <w:ilvl w:val="1"/>
          <w:numId w:val="1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przegląd dokumentacji szpitala;</w:t>
      </w:r>
    </w:p>
    <w:p w:rsidR="00E0631D" w:rsidRPr="00E26CA7" w:rsidRDefault="00E0631D" w:rsidP="00E0631D">
      <w:pPr>
        <w:pStyle w:val="Akapitzlist"/>
        <w:numPr>
          <w:ilvl w:val="1"/>
          <w:numId w:val="1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wywiad z kierownikiem;</w:t>
      </w:r>
    </w:p>
    <w:p w:rsidR="00E0631D" w:rsidRPr="00E26CA7" w:rsidRDefault="00E0631D" w:rsidP="00E0631D">
      <w:pPr>
        <w:pStyle w:val="Akapitzlist"/>
        <w:numPr>
          <w:ilvl w:val="1"/>
          <w:numId w:val="1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wywiad z personelem.</w:t>
      </w:r>
    </w:p>
    <w:p w:rsidR="00E0631D" w:rsidRPr="00E26CA7" w:rsidRDefault="00E0631D" w:rsidP="00E0631D">
      <w:pPr>
        <w:pStyle w:val="Heading6"/>
        <w:numPr>
          <w:ilvl w:val="0"/>
          <w:numId w:val="1"/>
        </w:numPr>
        <w:tabs>
          <w:tab w:val="left" w:pos="1841"/>
        </w:tabs>
        <w:ind w:left="1841" w:hanging="382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Ocena punktowa</w:t>
      </w:r>
    </w:p>
    <w:p w:rsidR="00E0631D" w:rsidRPr="00E26CA7" w:rsidRDefault="00E0631D" w:rsidP="00E0631D">
      <w:pPr>
        <w:pStyle w:val="Tekstpodstawowy"/>
        <w:tabs>
          <w:tab w:val="left" w:pos="2182"/>
        </w:tabs>
        <w:ind w:left="2182" w:right="140" w:hanging="341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>5</w:t>
      </w: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ab/>
      </w:r>
      <w:r w:rsidRPr="00E26CA7">
        <w:rPr>
          <w:rFonts w:asciiTheme="minorHAnsi" w:hAnsiTheme="minorHAnsi" w:cstheme="minorHAnsi"/>
          <w:sz w:val="22"/>
          <w:szCs w:val="22"/>
        </w:rPr>
        <w:t xml:space="preserve">W pracowni przeprowadza się ocenę zgodności opisów </w:t>
      </w:r>
      <w:r w:rsidR="00BA046D">
        <w:rPr>
          <w:rFonts w:asciiTheme="minorHAnsi" w:hAnsiTheme="minorHAnsi" w:cstheme="minorHAnsi"/>
          <w:sz w:val="22"/>
          <w:szCs w:val="22"/>
        </w:rPr>
        <w:t>wykonywanych badań zgodnie z wy</w:t>
      </w:r>
      <w:r w:rsidRPr="00E26CA7">
        <w:rPr>
          <w:rFonts w:asciiTheme="minorHAnsi" w:hAnsiTheme="minorHAnsi" w:cstheme="minorHAnsi"/>
          <w:sz w:val="22"/>
          <w:szCs w:val="22"/>
        </w:rPr>
        <w:t>mogami standardu.</w:t>
      </w:r>
    </w:p>
    <w:p w:rsidR="00E0631D" w:rsidRPr="00E26CA7" w:rsidRDefault="00E0631D" w:rsidP="00E0631D">
      <w:pPr>
        <w:pStyle w:val="Tekstpodstawowy"/>
        <w:tabs>
          <w:tab w:val="left" w:pos="2182"/>
        </w:tabs>
        <w:ind w:left="2182" w:right="145" w:hanging="341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>3</w:t>
      </w: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ab/>
      </w:r>
      <w:r w:rsidRPr="00E26CA7">
        <w:rPr>
          <w:rFonts w:asciiTheme="minorHAnsi" w:hAnsiTheme="minorHAnsi" w:cstheme="minorHAnsi"/>
          <w:sz w:val="22"/>
          <w:szCs w:val="22"/>
        </w:rPr>
        <w:t>Szpital podejmuje intensywne działania mające na celu spełnienie standardu (co najmniej 60% kamieni milowych jest spełnionych).</w:t>
      </w:r>
    </w:p>
    <w:p w:rsidR="00E0631D" w:rsidRPr="00E26CA7" w:rsidRDefault="00E0631D" w:rsidP="00E0631D">
      <w:pPr>
        <w:pStyle w:val="Tekstpodstawowy"/>
        <w:tabs>
          <w:tab w:val="left" w:pos="2182"/>
        </w:tabs>
        <w:ind w:left="2182" w:right="140" w:hanging="341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>1</w:t>
      </w: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ab/>
      </w:r>
      <w:r w:rsidRPr="00E26CA7">
        <w:rPr>
          <w:rFonts w:asciiTheme="minorHAnsi" w:hAnsiTheme="minorHAnsi" w:cstheme="minorHAnsi"/>
          <w:sz w:val="22"/>
          <w:szCs w:val="22"/>
        </w:rPr>
        <w:t>W pracowni nie przeprowadza się oceny zgodności opisów wykonywanych badań zgodnie z wymogami standardu.</w:t>
      </w:r>
    </w:p>
    <w:p w:rsidR="00E0631D" w:rsidRPr="00E26CA7" w:rsidRDefault="00E0631D" w:rsidP="00E0631D">
      <w:pPr>
        <w:pStyle w:val="Heading6"/>
        <w:numPr>
          <w:ilvl w:val="0"/>
          <w:numId w:val="1"/>
        </w:numPr>
        <w:tabs>
          <w:tab w:val="left" w:pos="1842"/>
        </w:tabs>
        <w:ind w:hanging="400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Kamienie milowe</w:t>
      </w:r>
    </w:p>
    <w:p w:rsidR="00E0631D" w:rsidRPr="00E26CA7" w:rsidRDefault="00E0631D" w:rsidP="00E0631D">
      <w:pPr>
        <w:pStyle w:val="Akapitzlist"/>
        <w:numPr>
          <w:ilvl w:val="1"/>
          <w:numId w:val="1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Ocena zgodności opisów badań dotyczy diagnostyki TK w metodyce zgodnej z opisem wymagań;</w:t>
      </w:r>
    </w:p>
    <w:p w:rsidR="00E0631D" w:rsidRPr="00E26CA7" w:rsidRDefault="00E0631D" w:rsidP="00E0631D">
      <w:pPr>
        <w:pStyle w:val="Akapitzlist"/>
        <w:numPr>
          <w:ilvl w:val="1"/>
          <w:numId w:val="1"/>
        </w:numPr>
        <w:tabs>
          <w:tab w:val="left" w:pos="2182"/>
        </w:tabs>
        <w:spacing w:line="240" w:lineRule="auto"/>
        <w:ind w:right="135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Ocena zgodności opisów badań dotyczy diagnostyki MRI w metodyce zgodnej z opisem wymagań;</w:t>
      </w:r>
    </w:p>
    <w:p w:rsidR="00E0631D" w:rsidRPr="00E26CA7" w:rsidRDefault="00E0631D" w:rsidP="00E0631D">
      <w:pPr>
        <w:pStyle w:val="Akapitzlist"/>
        <w:numPr>
          <w:ilvl w:val="1"/>
          <w:numId w:val="1"/>
        </w:numPr>
        <w:tabs>
          <w:tab w:val="left" w:pos="2182"/>
        </w:tabs>
        <w:spacing w:line="240" w:lineRule="auto"/>
        <w:ind w:right="139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Ocena zgodności opisów badań dotyczy dia</w:t>
      </w:r>
      <w:r w:rsidR="00C6520B">
        <w:rPr>
          <w:rFonts w:asciiTheme="minorHAnsi" w:hAnsiTheme="minorHAnsi" w:cstheme="minorHAnsi"/>
        </w:rPr>
        <w:t>gnostyki obrazów statycznych RTG</w:t>
      </w:r>
      <w:r w:rsidRPr="00E26CA7">
        <w:rPr>
          <w:rFonts w:asciiTheme="minorHAnsi" w:hAnsiTheme="minorHAnsi" w:cstheme="minorHAnsi"/>
        </w:rPr>
        <w:t xml:space="preserve"> w metodyce zgodnej z opisem wymagań.</w:t>
      </w:r>
    </w:p>
    <w:p w:rsidR="00E0631D" w:rsidRPr="00E26CA7" w:rsidRDefault="00E0631D" w:rsidP="00E0631D">
      <w:pPr>
        <w:pStyle w:val="Tekstpodstawowy"/>
        <w:ind w:left="1842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>Co najmniej 60% stanowi 2 kamienie milowe.</w:t>
      </w:r>
    </w:p>
    <w:p w:rsidR="00E0631D" w:rsidRPr="00E26CA7" w:rsidRDefault="00E0631D" w:rsidP="00E0631D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E0631D" w:rsidRPr="00E26CA7" w:rsidRDefault="00E0631D" w:rsidP="00E0631D">
      <w:pPr>
        <w:pStyle w:val="Heading9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Waga standardu – 0,5</w:t>
      </w:r>
    </w:p>
    <w:p w:rsidR="00427D73" w:rsidRDefault="00C6520B"/>
    <w:sectPr w:rsidR="00427D73" w:rsidSect="00980B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0316BF"/>
    <w:multiLevelType w:val="hybridMultilevel"/>
    <w:tmpl w:val="C39CC53C"/>
    <w:lvl w:ilvl="0" w:tplc="19AAF014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B916358E">
      <w:start w:val="1"/>
      <w:numFmt w:val="decimal"/>
      <w:lvlText w:val="%2)"/>
      <w:lvlJc w:val="left"/>
      <w:pPr>
        <w:ind w:left="2182" w:hanging="344"/>
        <w:jc w:val="lef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D20EF862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526445AE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716E181A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2164516C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F176ED3E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1452F3AC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B91852FE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characterSpacingControl w:val="doNotCompress"/>
  <w:compat/>
  <w:rsids>
    <w:rsidRoot w:val="00E0631D"/>
    <w:rsid w:val="000745AD"/>
    <w:rsid w:val="00682510"/>
    <w:rsid w:val="00980B91"/>
    <w:rsid w:val="00BA046D"/>
    <w:rsid w:val="00C6520B"/>
    <w:rsid w:val="00C94A7A"/>
    <w:rsid w:val="00E0631D"/>
    <w:rsid w:val="00E4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E0631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E0631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E0631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E0631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E0631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E0631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E0631D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C4780E-4425-4B3F-89E2-4261CA38E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2025-07-07T08:49:00Z</dcterms:created>
  <dcterms:modified xsi:type="dcterms:W3CDTF">2025-07-07T08:50:00Z</dcterms:modified>
</cp:coreProperties>
</file>