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0B4" w:rsidRPr="0020723B" w:rsidRDefault="002E50B4" w:rsidP="002E50B4">
      <w:pPr>
        <w:pStyle w:val="Heading4"/>
        <w:spacing w:line="194" w:lineRule="auto"/>
        <w:ind w:left="1275" w:right="20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42" o:spid="_x0000_s1026" type="#_x0000_t202" style="position:absolute;left:0;text-align:left;margin-left:56.7pt;margin-top:-9.6pt;width:45.4pt;height:45.55pt;z-index:251660288;mso-position-horizontal-relative:page" fillcolor="#bee3eb" stroked="f">
            <v:textbox inset="0,0,0,0">
              <w:txbxContent>
                <w:p w:rsidR="002E50B4" w:rsidRDefault="002E50B4" w:rsidP="002E50B4">
                  <w:pPr>
                    <w:pStyle w:val="Tekstpodstawowy"/>
                    <w:spacing w:before="18"/>
                    <w:rPr>
                      <w:color w:val="000000"/>
                      <w:sz w:val="24"/>
                    </w:rPr>
                  </w:pPr>
                </w:p>
                <w:p w:rsidR="002E50B4" w:rsidRDefault="002E50B4" w:rsidP="002E50B4">
                  <w:pPr>
                    <w:ind w:left="204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LA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5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LABORATORIUM PROWADZI KONTROLĘ JAKOŚCI WYKONYWANYCH BADAŃ.</w:t>
      </w:r>
    </w:p>
    <w:p w:rsidR="002E50B4" w:rsidRPr="0020723B" w:rsidRDefault="002E50B4" w:rsidP="002E50B4">
      <w:pPr>
        <w:pStyle w:val="Tekstpodstawowy"/>
        <w:spacing w:before="340" w:line="247" w:lineRule="auto"/>
        <w:ind w:left="1275" w:right="70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Ocena poszczególnych faz laboratoryjnych i jakości oznaczeń wykonywanych w laboratorium, w tym w trybie POCT, upewnia o poprawności uzyskiwanych wyników badań, lub wskazuje na potrzeby jej poprawy w zakresie procedur postępowania.</w:t>
      </w:r>
    </w:p>
    <w:p w:rsidR="002E50B4" w:rsidRPr="0020723B" w:rsidRDefault="002E50B4" w:rsidP="002E50B4">
      <w:pPr>
        <w:pStyle w:val="Tekstpodstawowy"/>
        <w:spacing w:before="2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Sprawdzanie jakości oznaczeń obejmuje ocenę błędów w każdej f</w:t>
      </w:r>
      <w:r>
        <w:rPr>
          <w:rFonts w:ascii="Calibri" w:hAnsi="Calibri" w:cs="Arial"/>
          <w:sz w:val="22"/>
        </w:rPr>
        <w:t>azie laboratoryjnej oraz prowa</w:t>
      </w:r>
      <w:r w:rsidRPr="0020723B">
        <w:rPr>
          <w:rFonts w:ascii="Calibri" w:hAnsi="Calibri" w:cs="Arial"/>
          <w:sz w:val="22"/>
        </w:rPr>
        <w:t xml:space="preserve">dzenie wewnątrz- i </w:t>
      </w:r>
      <w:proofErr w:type="spellStart"/>
      <w:r w:rsidRPr="0020723B">
        <w:rPr>
          <w:rFonts w:ascii="Calibri" w:hAnsi="Calibri" w:cs="Arial"/>
          <w:sz w:val="22"/>
        </w:rPr>
        <w:t>zewnątrzlaboratoryjnej</w:t>
      </w:r>
      <w:proofErr w:type="spellEnd"/>
      <w:r w:rsidRPr="0020723B">
        <w:rPr>
          <w:rFonts w:ascii="Calibri" w:hAnsi="Calibri" w:cs="Arial"/>
          <w:sz w:val="22"/>
        </w:rPr>
        <w:t xml:space="preserve"> kontroli jakości ba</w:t>
      </w:r>
      <w:r>
        <w:rPr>
          <w:rFonts w:ascii="Calibri" w:hAnsi="Calibri" w:cs="Arial"/>
          <w:sz w:val="22"/>
        </w:rPr>
        <w:t>dań. Kontrola jakości wykonywa</w:t>
      </w:r>
      <w:r w:rsidRPr="0020723B">
        <w:rPr>
          <w:rFonts w:ascii="Calibri" w:hAnsi="Calibri" w:cs="Arial"/>
          <w:sz w:val="22"/>
        </w:rPr>
        <w:t>nych badań prowadzona jest przez szpitalne medyczne laboratorium diagnostyczne oraz przez laboratorium podwykonawcy.</w:t>
      </w:r>
    </w:p>
    <w:p w:rsidR="002E50B4" w:rsidRPr="0020723B" w:rsidRDefault="002E50B4" w:rsidP="002E50B4">
      <w:pPr>
        <w:pStyle w:val="Tekstpodstawowy"/>
        <w:spacing w:before="262"/>
        <w:rPr>
          <w:rFonts w:ascii="Calibri" w:hAnsi="Calibri" w:cs="Arial"/>
          <w:sz w:val="22"/>
        </w:rPr>
      </w:pPr>
    </w:p>
    <w:p w:rsidR="00427D73" w:rsidRDefault="002E50B4"/>
    <w:sectPr w:rsidR="00427D73" w:rsidSect="00A707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2E50B4"/>
    <w:rsid w:val="000745AD"/>
    <w:rsid w:val="002E50B4"/>
    <w:rsid w:val="00682510"/>
    <w:rsid w:val="00A707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2E50B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2E50B4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2E50B4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2E50B4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508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2025-09-23T06:58:00Z</dcterms:created>
  <dcterms:modified xsi:type="dcterms:W3CDTF">2025-09-23T06:59:00Z</dcterms:modified>
</cp:coreProperties>
</file>