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B6E" w:rsidRPr="0020723B" w:rsidRDefault="00724B6E" w:rsidP="00724B6E">
      <w:pPr>
        <w:pStyle w:val="Heading4"/>
        <w:spacing w:before="30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84" o:spid="_x0000_s1026" type="#_x0000_t202" style="position:absolute;left:0;text-align:left;margin-left:85.05pt;margin-top:.15pt;width:45.4pt;height:46.5pt;z-index:251660288;mso-position-horizontal-relative:page" fillcolor="#bee3eb" stroked="f">
            <v:textbox inset="0,0,0,0">
              <w:txbxContent>
                <w:p w:rsidR="00724B6E" w:rsidRDefault="00724B6E" w:rsidP="00724B6E">
                  <w:pPr>
                    <w:pStyle w:val="Tekstpodstawowy"/>
                    <w:spacing w:before="27"/>
                    <w:rPr>
                      <w:color w:val="000000"/>
                      <w:sz w:val="24"/>
                    </w:rPr>
                  </w:pPr>
                </w:p>
                <w:p w:rsidR="00724B6E" w:rsidRDefault="00724B6E" w:rsidP="00724B6E">
                  <w:pPr>
                    <w:ind w:left="13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10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1685" o:spid="_x0000_s1027" type="#_x0000_t202" style="position:absolute;left:0;text-align:left;margin-left:568.95pt;margin-top:330.1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724B6E" w:rsidRDefault="00724B6E" w:rsidP="00724B6E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OP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ZAPOBIEGA UPADKOM PACJENTÓW.</w:t>
      </w:r>
    </w:p>
    <w:p w:rsidR="00724B6E" w:rsidRPr="0020723B" w:rsidRDefault="00724B6E" w:rsidP="00724B6E">
      <w:pPr>
        <w:pStyle w:val="Tekstpodstawowy"/>
        <w:spacing w:before="139"/>
        <w:rPr>
          <w:rFonts w:ascii="Calibri" w:hAnsi="Calibri" w:cs="Arial"/>
          <w:sz w:val="22"/>
        </w:rPr>
      </w:pPr>
    </w:p>
    <w:p w:rsidR="00724B6E" w:rsidRPr="0020723B" w:rsidRDefault="00724B6E" w:rsidP="00724B6E">
      <w:pPr>
        <w:pStyle w:val="Heading6"/>
        <w:numPr>
          <w:ilvl w:val="2"/>
          <w:numId w:val="2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24B6E" w:rsidRPr="0020723B" w:rsidRDefault="00724B6E" w:rsidP="00724B6E">
      <w:pPr>
        <w:pStyle w:val="Tekstpodstawowy"/>
        <w:spacing w:before="218" w:line="247" w:lineRule="auto"/>
        <w:ind w:left="1842" w:right="14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Zapobieganie upadkom i zagrożeniom, jakie mogą powodować, jest istotnym elementem poprawy bezpieczeństwa pacjenta. Szpital powinien określić: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2"/>
        </w:tabs>
        <w:spacing w:line="247" w:lineRule="auto"/>
        <w:ind w:right="1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profil pacjentów podlegających ocenie ryzyka upadku z uwzględnieniem specyfiki leczonych pacjentów i ich wieku, istniejących ograniczeń, danych uzyskanych z wywiadu.</w:t>
      </w:r>
    </w:p>
    <w:p w:rsidR="00724B6E" w:rsidRPr="0020723B" w:rsidRDefault="00724B6E" w:rsidP="00724B6E">
      <w:pPr>
        <w:pStyle w:val="Tekstpodstawowy"/>
        <w:spacing w:before="231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Zapobieganie upadkom obejmuje:</w:t>
      </w:r>
    </w:p>
    <w:p w:rsidR="00724B6E" w:rsidRPr="0020723B" w:rsidRDefault="00724B6E" w:rsidP="00724B6E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ryzyka upadków pacjentów przy przyjęciu na oddział za pomocą przyjętej skali;</w:t>
      </w:r>
    </w:p>
    <w:p w:rsidR="00724B6E" w:rsidRPr="0020723B" w:rsidRDefault="00724B6E" w:rsidP="00724B6E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uwzględnienie historii upadków;</w:t>
      </w:r>
    </w:p>
    <w:p w:rsidR="00724B6E" w:rsidRPr="0020723B" w:rsidRDefault="00724B6E" w:rsidP="00724B6E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identyfikacji pacjentów z grup ryzyka;</w:t>
      </w:r>
    </w:p>
    <w:p w:rsidR="00724B6E" w:rsidRPr="0020723B" w:rsidRDefault="00724B6E" w:rsidP="00724B6E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postępowania adekwatnie do stwierdzonego ryzyka;</w:t>
      </w:r>
    </w:p>
    <w:p w:rsidR="00724B6E" w:rsidRPr="0020723B" w:rsidRDefault="00724B6E" w:rsidP="00724B6E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43" w:hanging="33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przekazywanie zaleceń poszpitalnych pacjentom z grup ryzyka, z uwzględnieniem propozycji ćwiczeń poprawiających sprawność ruchową i zachowanie równowagi, ocenę ryzyka stosowanej i planowanej do zastosowania farmakoterapii pod względem możliwości zwiększenia ryzyka upadku.</w:t>
      </w:r>
    </w:p>
    <w:p w:rsidR="00724B6E" w:rsidRPr="0020723B" w:rsidRDefault="00724B6E" w:rsidP="00724B6E">
      <w:pPr>
        <w:pStyle w:val="Tekstpodstawowy"/>
        <w:spacing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Ryzyko upadku poddawane jest ponownej ocenie po wystąpieniu upadku, istotnej zmianie stanu zdrowia, po przekazaniu pacjenta na inny oddział.</w:t>
      </w:r>
    </w:p>
    <w:p w:rsidR="00724B6E" w:rsidRPr="0020723B" w:rsidRDefault="00724B6E" w:rsidP="00724B6E">
      <w:pPr>
        <w:pStyle w:val="Tekstpodstawowy"/>
        <w:spacing w:before="1" w:line="247" w:lineRule="auto"/>
        <w:ind w:left="1842" w:right="14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 postępowanie po wystąpieniu upadku, szczególnie, gdy jego skutkiem jest uraz lub poważne pogorszenie stanu zdrowia. W oparciu o dane dotyczące występowania upadków w oddziałach, należy modyfikować profil pacjentów podlegających ocenie ryzyka upadku. Kierownik szpitala zapewnia środki i możliwość realizacji standardu.</w:t>
      </w:r>
    </w:p>
    <w:p w:rsidR="00724B6E" w:rsidRPr="0020723B" w:rsidRDefault="00724B6E" w:rsidP="00724B6E">
      <w:pPr>
        <w:pStyle w:val="Heading6"/>
        <w:numPr>
          <w:ilvl w:val="2"/>
          <w:numId w:val="2"/>
        </w:numPr>
        <w:tabs>
          <w:tab w:val="left" w:pos="1841"/>
        </w:tabs>
        <w:spacing w:before="167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724B6E" w:rsidRPr="0020723B" w:rsidRDefault="00724B6E" w:rsidP="00724B6E">
      <w:pPr>
        <w:pStyle w:val="Heading6"/>
        <w:numPr>
          <w:ilvl w:val="2"/>
          <w:numId w:val="2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24B6E" w:rsidRPr="0020723B" w:rsidRDefault="00724B6E" w:rsidP="00724B6E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zapobiega upadkom pacjentów zgodnie z wymogami standardu.</w:t>
      </w:r>
    </w:p>
    <w:p w:rsidR="00724B6E" w:rsidRPr="0020723B" w:rsidRDefault="00724B6E" w:rsidP="00724B6E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724B6E" w:rsidRPr="0020723B" w:rsidRDefault="00724B6E" w:rsidP="00724B6E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zapobiega upadkom pacjentów zgodnie z wymogami standardu.</w:t>
      </w:r>
    </w:p>
    <w:p w:rsidR="00724B6E" w:rsidRPr="0020723B" w:rsidRDefault="00724B6E" w:rsidP="00724B6E">
      <w:pPr>
        <w:pStyle w:val="Heading6"/>
        <w:numPr>
          <w:ilvl w:val="2"/>
          <w:numId w:val="2"/>
        </w:numPr>
        <w:tabs>
          <w:tab w:val="left" w:pos="1842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określił profil pacjentów podlegających ocenie ryzyka upadku;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1"/>
        </w:tabs>
        <w:ind w:left="218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profil pacjentów podlegających ocenie ryzyka upadku uwzględnia specyfikę leczonych pacjentów;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profil pacjentów podlegających ocenie ryzyka upadku uwzględnia wiek leczonych pacjentów;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profil pacjentów podlegających ocenie ryzyka upadku uwzględnia istniejące ograniczenia;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profil pacjentów podlegających ocenie ryzyka upadku uwzględnia dane </w:t>
      </w:r>
      <w:r w:rsidRPr="0020723B">
        <w:rPr>
          <w:rFonts w:ascii="Calibri" w:hAnsi="Calibri" w:cs="Arial"/>
          <w:szCs w:val="20"/>
        </w:rPr>
        <w:lastRenderedPageBreak/>
        <w:t>uzyskane z wywiadu;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2"/>
        </w:tabs>
        <w:spacing w:line="247" w:lineRule="auto"/>
        <w:ind w:right="1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działania zapobiegające upadkom obejmują ocenę ryzyka upadków pacjentów przy przyjęciu na oddział za pomocą przyjętej skali;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2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działania zapobiegające upadkom obejmują uwzględnienie historii upadków;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działania zapobiegające upadkom obejmują sposób postępowania adekwatnie do </w:t>
      </w:r>
      <w:r>
        <w:rPr>
          <w:rFonts w:ascii="Calibri" w:hAnsi="Calibri" w:cs="Arial"/>
          <w:szCs w:val="20"/>
        </w:rPr>
        <w:t>stwier</w:t>
      </w:r>
      <w:r w:rsidRPr="0020723B">
        <w:rPr>
          <w:rFonts w:ascii="Calibri" w:hAnsi="Calibri" w:cs="Arial"/>
          <w:szCs w:val="20"/>
        </w:rPr>
        <w:t>dzonego ryzyka;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2"/>
        </w:tabs>
        <w:spacing w:line="247" w:lineRule="auto"/>
        <w:ind w:right="13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działania zapobiegające upadkom obejmują przekazywanie </w:t>
      </w:r>
      <w:r>
        <w:rPr>
          <w:rFonts w:ascii="Calibri" w:hAnsi="Calibri" w:cs="Arial"/>
          <w:szCs w:val="20"/>
        </w:rPr>
        <w:t xml:space="preserve">zaleceń </w:t>
      </w:r>
      <w:proofErr w:type="spellStart"/>
      <w:r>
        <w:rPr>
          <w:rFonts w:ascii="Calibri" w:hAnsi="Calibri" w:cs="Arial"/>
          <w:szCs w:val="20"/>
        </w:rPr>
        <w:t>pozaszpitalnych</w:t>
      </w:r>
      <w:proofErr w:type="spellEnd"/>
      <w:r>
        <w:rPr>
          <w:rFonts w:ascii="Calibri" w:hAnsi="Calibri" w:cs="Arial"/>
          <w:szCs w:val="20"/>
        </w:rPr>
        <w:t xml:space="preserve"> pacjen</w:t>
      </w:r>
      <w:r w:rsidRPr="0020723B">
        <w:rPr>
          <w:rFonts w:ascii="Calibri" w:hAnsi="Calibri" w:cs="Arial"/>
          <w:szCs w:val="20"/>
        </w:rPr>
        <w:t>tom z grup ryzyka, z uwzględnieniem propozycji ćwiczeń poprawiających sprawność ruchową i zachowanie równowagi;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2182"/>
        </w:tabs>
        <w:spacing w:line="247" w:lineRule="auto"/>
        <w:ind w:right="13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działania zapobiegające upadkom obejmują ocenę ryzyka st</w:t>
      </w:r>
      <w:r>
        <w:rPr>
          <w:rFonts w:ascii="Calibri" w:hAnsi="Calibri" w:cs="Arial"/>
          <w:szCs w:val="20"/>
        </w:rPr>
        <w:t>osowanej i planowanej do zasto</w:t>
      </w:r>
      <w:r w:rsidRPr="0020723B">
        <w:rPr>
          <w:rFonts w:ascii="Calibri" w:hAnsi="Calibri" w:cs="Arial"/>
          <w:szCs w:val="20"/>
        </w:rPr>
        <w:t>sowania farmakoterapii pod względem możliwości zwiększenia ryzyka upadku;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1615"/>
        </w:tabs>
        <w:spacing w:before="79" w:line="242" w:lineRule="exact"/>
        <w:ind w:left="1615" w:hanging="454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rect id="docshape1686" o:spid="_x0000_s1028" style="position:absolute;left:0;text-align:left;margin-left:0;margin-top:331.15pt;width:28.35pt;height:47.95pt;z-index:251662336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Cs w:val="20"/>
        </w:rPr>
        <w:t>ryzyko upadku poddawane jest ponownej ocenie po wystąpieniu upadku;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1615"/>
        </w:tabs>
        <w:ind w:left="1615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ryzyko upadku poddawane jest ponownej ocenie po istotnej zmianie stanu zdrowia;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1615"/>
        </w:tabs>
        <w:ind w:left="1615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ryzyko upadku poddawane jest ponownej ocenie po przekazaniu pacjenta na inny oddział;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1615"/>
        </w:tabs>
        <w:spacing w:line="247" w:lineRule="auto"/>
        <w:ind w:left="1615" w:right="705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określił postępowanie po wystąpieniu upadku, szczególnie, gdy jego skutkiem jest uraz lub poważne pogorszenie stanu zdrowia;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1615"/>
        </w:tabs>
        <w:spacing w:line="247" w:lineRule="auto"/>
        <w:ind w:left="1615" w:right="706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profil pacjentów podlegających ocenie ryzyka upadku jest modyfikowany w oparciu o dane dotyczące występowania upadków w oddziałach;</w:t>
      </w:r>
    </w:p>
    <w:p w:rsidR="00724B6E" w:rsidRPr="0020723B" w:rsidRDefault="00724B6E" w:rsidP="00724B6E">
      <w:pPr>
        <w:pStyle w:val="Akapitzlist"/>
        <w:numPr>
          <w:ilvl w:val="3"/>
          <w:numId w:val="2"/>
        </w:numPr>
        <w:tabs>
          <w:tab w:val="left" w:pos="1615"/>
        </w:tabs>
        <w:spacing w:line="234" w:lineRule="exact"/>
        <w:ind w:left="1615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środki i możliwość realizacji standardu.</w:t>
      </w:r>
    </w:p>
    <w:p w:rsidR="00724B6E" w:rsidRPr="0020723B" w:rsidRDefault="00724B6E" w:rsidP="00724B6E">
      <w:pPr>
        <w:pStyle w:val="Tekstpodstawowy"/>
        <w:spacing w:before="2"/>
        <w:rPr>
          <w:rFonts w:ascii="Calibri" w:hAnsi="Calibri" w:cs="Arial"/>
          <w:sz w:val="22"/>
        </w:rPr>
      </w:pPr>
    </w:p>
    <w:p w:rsidR="00724B6E" w:rsidRPr="0020723B" w:rsidRDefault="00724B6E" w:rsidP="00724B6E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10 kamieni milowych.</w:t>
      </w:r>
    </w:p>
    <w:p w:rsidR="00724B6E" w:rsidRPr="0020723B" w:rsidRDefault="00724B6E" w:rsidP="00724B6E">
      <w:pPr>
        <w:pStyle w:val="Tekstpodstawowy"/>
        <w:spacing w:before="3"/>
        <w:rPr>
          <w:rFonts w:ascii="Calibri" w:hAnsi="Calibri" w:cs="Arial"/>
          <w:sz w:val="22"/>
        </w:rPr>
      </w:pPr>
    </w:p>
    <w:p w:rsidR="00724B6E" w:rsidRPr="0020723B" w:rsidRDefault="00724B6E" w:rsidP="00724B6E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724B6E" w:rsidRPr="0020723B" w:rsidRDefault="00724B6E" w:rsidP="00724B6E">
      <w:pPr>
        <w:pStyle w:val="Tekstpodstawowy"/>
        <w:spacing w:before="239"/>
        <w:rPr>
          <w:rFonts w:ascii="Calibri" w:hAnsi="Calibri" w:cs="Arial"/>
          <w:sz w:val="22"/>
        </w:rPr>
      </w:pPr>
    </w:p>
    <w:p w:rsidR="00427D73" w:rsidRDefault="00724B6E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E580F"/>
    <w:multiLevelType w:val="hybridMultilevel"/>
    <w:tmpl w:val="1672622A"/>
    <w:lvl w:ilvl="0" w:tplc="7BA87FF0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21CE59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848FB1A">
      <w:start w:val="1"/>
      <w:numFmt w:val="decimal"/>
      <w:lvlText w:val="%3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C57EF9C0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04F80FD4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A7C83CFA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C77EC07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0B6CAF3C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1848E1AE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1">
    <w:nsid w:val="14C87273"/>
    <w:multiLevelType w:val="hybridMultilevel"/>
    <w:tmpl w:val="E90E4A54"/>
    <w:lvl w:ilvl="0" w:tplc="E85A46BE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5A6C3A8C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9C107B82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97FE5BE0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02FCFF1A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3EACA48E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63D682E8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63A2CE60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B2CAA568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24B6E"/>
    <w:rsid w:val="000745AD"/>
    <w:rsid w:val="00682510"/>
    <w:rsid w:val="00724B6E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24B6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24B6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24B6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24B6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24B6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24B6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24B6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2025-07-15T09:23:00Z</dcterms:created>
  <dcterms:modified xsi:type="dcterms:W3CDTF">2025-07-15T09:23:00Z</dcterms:modified>
</cp:coreProperties>
</file>