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7CE" w:rsidRPr="0020723B" w:rsidRDefault="00AE17CE" w:rsidP="00AE17CE">
      <w:pPr>
        <w:pStyle w:val="Heading4"/>
        <w:spacing w:before="160" w:line="194" w:lineRule="auto"/>
        <w:ind w:left="129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671" o:spid="_x0000_s1026" style="position:absolute;left:0;text-align:left;margin-left:0;margin-top:331.1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72" o:spid="_x0000_s1027" type="#_x0000_t202" style="position:absolute;left:0;text-align:left;margin-left:57.7pt;margin-top:.15pt;width:45.4pt;height:74.05pt;z-index:251661312;mso-position-horizontal-relative:page" filled="f" strokecolor="#bee3eb" strokeweight="2pt">
            <v:textbox inset="0,0,0,0">
              <w:txbxContent>
                <w:p w:rsidR="00AE17CE" w:rsidRDefault="00AE17CE" w:rsidP="00AE17CE">
                  <w:pPr>
                    <w:pStyle w:val="Tekstpodstawowy"/>
                    <w:rPr>
                      <w:sz w:val="24"/>
                    </w:rPr>
                  </w:pPr>
                </w:p>
                <w:p w:rsidR="00AE17CE" w:rsidRDefault="00AE17CE" w:rsidP="00AE17CE">
                  <w:pPr>
                    <w:pStyle w:val="Tekstpodstawowy"/>
                    <w:spacing w:before="4"/>
                    <w:rPr>
                      <w:sz w:val="24"/>
                    </w:rPr>
                  </w:pPr>
                </w:p>
                <w:p w:rsidR="00AE17CE" w:rsidRDefault="00AE17CE" w:rsidP="00AE17CE">
                  <w:pPr>
                    <w:spacing w:before="1"/>
                    <w:ind w:left="7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4.1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ZASADY POSTĘPOWANIA NA WYPADEK WYSTĄPIENIA ZDARZENIA</w:t>
      </w:r>
    </w:p>
    <w:p w:rsidR="00AE17CE" w:rsidRPr="0020723B" w:rsidRDefault="00AE17CE" w:rsidP="00AE17CE">
      <w:pPr>
        <w:pStyle w:val="Heading4"/>
        <w:spacing w:before="1" w:line="194" w:lineRule="auto"/>
        <w:ind w:left="1295" w:right="236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LUB REAKCJI NIEPOŻĄDANEJ DOTYCZĄCEJ PRZETACZANIA KRWI I JEJ SKŁADNIKÓW.</w:t>
      </w:r>
    </w:p>
    <w:p w:rsidR="00AE17CE" w:rsidRPr="0020723B" w:rsidRDefault="00AE17CE" w:rsidP="00AE17CE">
      <w:pPr>
        <w:pStyle w:val="Tekstpodstawowy"/>
        <w:spacing w:before="100"/>
        <w:rPr>
          <w:rFonts w:ascii="Calibri" w:hAnsi="Calibri" w:cs="Arial"/>
          <w:sz w:val="22"/>
        </w:rPr>
      </w:pPr>
    </w:p>
    <w:p w:rsidR="00AE17CE" w:rsidRPr="0020723B" w:rsidRDefault="00AE17CE" w:rsidP="00AE17CE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E17CE" w:rsidRPr="0020723B" w:rsidRDefault="00AE17CE" w:rsidP="00AE17CE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Procedury postępowania na wypadek wystąpienia zdarzenia lub reakcji niepożądanej powinny być wdrożone i w razie potrzeby korygowane. Procedury powinny obejmować: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postępowanie z pacjentem;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postępowanie ze składnikiem krwi;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wykaz potrzebnych badań laboratoryjnych wykonanych u biorcy w zależności od wystąpienia reakcji lub zdarzenia niepożądanego po przetoczeniu krwi i jej składników;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dokumentowania zdarzenia lub reakcji niepożądanej or</w:t>
      </w:r>
      <w:r>
        <w:rPr>
          <w:rFonts w:ascii="Calibri" w:hAnsi="Calibri" w:cs="Arial"/>
          <w:szCs w:val="20"/>
        </w:rPr>
        <w:t>az przekazywania informacji pa</w:t>
      </w:r>
      <w:r w:rsidRPr="0020723B">
        <w:rPr>
          <w:rFonts w:ascii="Calibri" w:hAnsi="Calibri" w:cs="Arial"/>
          <w:szCs w:val="20"/>
        </w:rPr>
        <w:t>cjentowi, osobom bliskim, osobom upoważnionym lub przedstawicielom ustawowym pacjenta;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zasadę zgłaszania zdarzenia lub reakcji niepożądanej do banku krwi, pracowni immunologii transfuzjologicznej oraz organu nadzorczego: </w:t>
      </w:r>
      <w:proofErr w:type="spellStart"/>
      <w:r w:rsidRPr="0020723B">
        <w:rPr>
          <w:rFonts w:ascii="Calibri" w:hAnsi="Calibri" w:cs="Arial"/>
          <w:szCs w:val="20"/>
        </w:rPr>
        <w:t>RCKiK</w:t>
      </w:r>
      <w:proofErr w:type="spellEnd"/>
      <w:r w:rsidRPr="0020723B">
        <w:rPr>
          <w:rFonts w:ascii="Calibri" w:hAnsi="Calibri" w:cs="Arial"/>
          <w:szCs w:val="20"/>
        </w:rPr>
        <w:t xml:space="preserve"> właściwego dla miejsca działalności.</w:t>
      </w:r>
    </w:p>
    <w:p w:rsidR="00AE17CE" w:rsidRPr="0020723B" w:rsidRDefault="00AE17CE" w:rsidP="00AE17CE">
      <w:pPr>
        <w:pStyle w:val="Heading6"/>
        <w:numPr>
          <w:ilvl w:val="0"/>
          <w:numId w:val="1"/>
        </w:numPr>
        <w:tabs>
          <w:tab w:val="left" w:pos="1274"/>
        </w:tabs>
        <w:spacing w:before="14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AE17CE" w:rsidRPr="0020723B" w:rsidRDefault="00AE17CE" w:rsidP="00AE17C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AE17CE" w:rsidRPr="0020723B" w:rsidRDefault="00AE17CE" w:rsidP="00AE17CE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E17CE" w:rsidRPr="0020723B" w:rsidRDefault="00AE17CE" w:rsidP="00AE17CE">
      <w:pPr>
        <w:pStyle w:val="Tekstpodstawowy"/>
        <w:tabs>
          <w:tab w:val="left" w:pos="1615"/>
        </w:tabs>
        <w:spacing w:before="205" w:line="247" w:lineRule="auto"/>
        <w:ind w:left="1615" w:right="70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zasady postępowania na wypadek wystąpienia zdarzenia lub reakcji niepożądanej zgodnie z wymogami standardu.</w:t>
      </w:r>
    </w:p>
    <w:p w:rsidR="00AE17CE" w:rsidRPr="0020723B" w:rsidRDefault="00AE17CE" w:rsidP="00AE17CE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zasad postępowania na wypadek wystąpienia zdarzenia lub reakcji niepożądanej zgodnie z wymogami standardu.</w:t>
      </w:r>
    </w:p>
    <w:p w:rsidR="00AE17CE" w:rsidRPr="0020723B" w:rsidRDefault="00AE17CE" w:rsidP="00AE17CE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AE17CE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D7D0A"/>
    <w:multiLevelType w:val="hybridMultilevel"/>
    <w:tmpl w:val="8990DF58"/>
    <w:lvl w:ilvl="0" w:tplc="F73AEF6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4FEC52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A9EF8E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708E6E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1A76738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EC6C7BFA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81D0660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F5488B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C2D86616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E17CE"/>
    <w:rsid w:val="000745AD"/>
    <w:rsid w:val="00682510"/>
    <w:rsid w:val="00AE17CE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E17C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E17C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E17C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E17C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E17C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E17C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E17C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2025-07-15T09:15:00Z</dcterms:created>
  <dcterms:modified xsi:type="dcterms:W3CDTF">2025-07-15T09:15:00Z</dcterms:modified>
</cp:coreProperties>
</file>