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281E" w:rsidRPr="0020723B" w:rsidRDefault="0091281E" w:rsidP="0091281E">
      <w:pPr>
        <w:pStyle w:val="Tekstpodstawowy"/>
        <w:spacing w:before="240"/>
        <w:rPr>
          <w:rFonts w:ascii="Calibri" w:hAnsi="Calibri" w:cs="Arial"/>
          <w:sz w:val="22"/>
        </w:rPr>
      </w:pPr>
    </w:p>
    <w:p w:rsidR="0091281E" w:rsidRPr="0091281E" w:rsidRDefault="0091281E" w:rsidP="0091281E">
      <w:pPr>
        <w:pStyle w:val="Heading4"/>
        <w:spacing w:line="194" w:lineRule="auto"/>
        <w:ind w:left="1275" w:right="707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673" o:spid="_x0000_s1026" type="#_x0000_t202" style="position:absolute;left:0;text-align:left;margin-left:56.7pt;margin-top:-10.1pt;width:45.4pt;height:46.55pt;z-index:251660288;mso-position-horizontal-relative:page" fillcolor="#bee3eb" stroked="f">
            <v:textbox inset="0,0,0,0">
              <w:txbxContent>
                <w:p w:rsidR="0091281E" w:rsidRDefault="0091281E" w:rsidP="0091281E">
                  <w:pPr>
                    <w:pStyle w:val="Tekstpodstawowy"/>
                    <w:spacing w:before="28"/>
                    <w:rPr>
                      <w:color w:val="000000"/>
                      <w:sz w:val="24"/>
                    </w:rPr>
                  </w:pPr>
                </w:p>
                <w:p w:rsidR="0091281E" w:rsidRDefault="0091281E" w:rsidP="0091281E">
                  <w:pPr>
                    <w:ind w:left="180"/>
                    <w:rPr>
                      <w:rFonts w:ascii="Arial Black"/>
                      <w:color w:val="000000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90"/>
                      <w:sz w:val="24"/>
                    </w:rPr>
                    <w:t>OP</w:t>
                  </w:r>
                  <w:r>
                    <w:rPr>
                      <w:rFonts w:ascii="Arial Black"/>
                      <w:color w:val="072160"/>
                      <w:spacing w:val="-22"/>
                      <w:w w:val="90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10"/>
                      <w:sz w:val="24"/>
                    </w:rPr>
                    <w:t>5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W SZPITALU WDROŻONO PROFILAKTYKĘ ŻYLNEJ CHOROBY ZAKRZEPOWO-ZATOROWEJ.</w:t>
      </w:r>
    </w:p>
    <w:p w:rsidR="0091281E" w:rsidRPr="0020723B" w:rsidRDefault="0091281E" w:rsidP="0091281E">
      <w:pPr>
        <w:pStyle w:val="Heading6"/>
        <w:numPr>
          <w:ilvl w:val="0"/>
          <w:numId w:val="1"/>
        </w:numPr>
        <w:tabs>
          <w:tab w:val="left" w:pos="1275"/>
        </w:tabs>
        <w:ind w:hanging="328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91281E" w:rsidRPr="0020723B" w:rsidRDefault="0091281E" w:rsidP="0091281E">
      <w:pPr>
        <w:pStyle w:val="Tekstpodstawowy"/>
        <w:spacing w:before="218" w:line="247" w:lineRule="auto"/>
        <w:ind w:left="1275" w:right="706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 xml:space="preserve">W oparciu o aktualne wytyczne kliniczne szpital powinien opracować i wdrożyć Standardową Procedurę Postępowania w profilaktyce żylnej choroby zakrzepowo-zatorowej, z uwzględnieniem szczególnych grup pacjentów np. </w:t>
      </w:r>
      <w:proofErr w:type="spellStart"/>
      <w:r w:rsidRPr="0020723B">
        <w:rPr>
          <w:rFonts w:ascii="Calibri" w:hAnsi="Calibri" w:cs="Arial"/>
          <w:sz w:val="22"/>
        </w:rPr>
        <w:t>trombofilia</w:t>
      </w:r>
      <w:proofErr w:type="spellEnd"/>
      <w:r w:rsidRPr="0020723B">
        <w:rPr>
          <w:rFonts w:ascii="Calibri" w:hAnsi="Calibri" w:cs="Arial"/>
          <w:sz w:val="22"/>
        </w:rPr>
        <w:t>, która obejmuje:</w:t>
      </w:r>
    </w:p>
    <w:p w:rsidR="0091281E" w:rsidRPr="0020723B" w:rsidRDefault="0091281E" w:rsidP="0091281E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right="707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udokumentowaną ocenę pacjentów pod względem ryzyk</w:t>
      </w:r>
      <w:r>
        <w:rPr>
          <w:rFonts w:ascii="Calibri" w:hAnsi="Calibri" w:cs="Arial"/>
          <w:szCs w:val="20"/>
        </w:rPr>
        <w:t>a wystąpienia choroby zakrzepo</w:t>
      </w:r>
      <w:r w:rsidRPr="0020723B">
        <w:rPr>
          <w:rFonts w:ascii="Calibri" w:hAnsi="Calibri" w:cs="Arial"/>
          <w:szCs w:val="20"/>
        </w:rPr>
        <w:t>wo-zatorowej opartą o jedną z ogólnie przyjętych skal oceny ryzyka;</w:t>
      </w:r>
    </w:p>
    <w:p w:rsidR="0091281E" w:rsidRPr="0020723B" w:rsidRDefault="0091281E" w:rsidP="0091281E">
      <w:pPr>
        <w:pStyle w:val="Akapitzlist"/>
        <w:numPr>
          <w:ilvl w:val="1"/>
          <w:numId w:val="1"/>
        </w:numPr>
        <w:tabs>
          <w:tab w:val="left" w:pos="1614"/>
        </w:tabs>
        <w:spacing w:line="231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kwalifikację do poszczególnych grup ryzyka;</w:t>
      </w:r>
    </w:p>
    <w:p w:rsidR="0091281E" w:rsidRPr="0020723B" w:rsidRDefault="0091281E" w:rsidP="0091281E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określenie dostępności leków i sprzętu wymaganych standardem;</w:t>
      </w:r>
    </w:p>
    <w:p w:rsidR="0091281E" w:rsidRPr="0020723B" w:rsidRDefault="0091281E" w:rsidP="0091281E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określenie dostępności do właściwych badań diagnostycznych;</w:t>
      </w:r>
    </w:p>
    <w:p w:rsidR="0091281E" w:rsidRPr="0020723B" w:rsidRDefault="0091281E" w:rsidP="0091281E">
      <w:pPr>
        <w:pStyle w:val="Akapitzlist"/>
        <w:numPr>
          <w:ilvl w:val="1"/>
          <w:numId w:val="1"/>
        </w:numPr>
        <w:tabs>
          <w:tab w:val="left" w:pos="1614"/>
        </w:tabs>
        <w:spacing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ocenę wdrożenia i skuteczności prowadzonej profilaktyki.</w:t>
      </w:r>
    </w:p>
    <w:p w:rsidR="0091281E" w:rsidRPr="0020723B" w:rsidRDefault="0091281E" w:rsidP="0091281E">
      <w:pPr>
        <w:pStyle w:val="Tekstpodstawowy"/>
        <w:spacing w:before="5"/>
        <w:rPr>
          <w:rFonts w:ascii="Calibri" w:hAnsi="Calibri" w:cs="Arial"/>
          <w:sz w:val="22"/>
        </w:rPr>
      </w:pPr>
    </w:p>
    <w:p w:rsidR="0091281E" w:rsidRPr="0020723B" w:rsidRDefault="0091281E" w:rsidP="0091281E">
      <w:pPr>
        <w:pStyle w:val="Tekstpodstawowy"/>
        <w:spacing w:before="1" w:line="247" w:lineRule="auto"/>
        <w:ind w:left="1275" w:right="707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Profilaktyka powinna obejmować metody farmakologiczne oraz mechaniczne, zgodnie z przyjętymi wytycznymi. Szpital zapewnia środki i możliwość realizacji standardu.</w:t>
      </w:r>
    </w:p>
    <w:p w:rsidR="0091281E" w:rsidRPr="0020723B" w:rsidRDefault="0091281E" w:rsidP="0091281E">
      <w:pPr>
        <w:pStyle w:val="Tekstpodstawowy"/>
        <w:spacing w:before="1" w:line="247" w:lineRule="auto"/>
        <w:ind w:left="1275" w:right="706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Celem nadzoru wdrożenia profilaktyki żylnej choroby zakrzepowo-zatorowej w oddziałach za- biegowych szpital:</w:t>
      </w:r>
    </w:p>
    <w:p w:rsidR="0091281E" w:rsidRPr="0020723B" w:rsidRDefault="0091281E" w:rsidP="0091281E">
      <w:pPr>
        <w:pStyle w:val="Akapitzlist"/>
        <w:numPr>
          <w:ilvl w:val="2"/>
          <w:numId w:val="1"/>
        </w:numPr>
        <w:tabs>
          <w:tab w:val="left" w:pos="2181"/>
        </w:tabs>
        <w:spacing w:before="79" w:line="242" w:lineRule="exact"/>
        <w:ind w:left="2181" w:hanging="343"/>
        <w:rPr>
          <w:rFonts w:ascii="Calibri" w:hAnsi="Calibri" w:cs="Arial"/>
          <w:szCs w:val="20"/>
        </w:rPr>
      </w:pPr>
      <w:r>
        <w:rPr>
          <w:rFonts w:ascii="Calibri" w:hAnsi="Calibri" w:cs="Arial"/>
          <w:szCs w:val="20"/>
        </w:rPr>
        <w:pict>
          <v:shape id="docshape1674" o:spid="_x0000_s1027" type="#_x0000_t202" style="position:absolute;left:0;text-align:left;margin-left:568.95pt;margin-top:330.15pt;width:24.4pt;height:49.95pt;z-index:251661312;mso-position-horizontal-relative:page;mso-position-vertical-relative:page" filled="f" stroked="f">
            <v:textbox style="layout-flow:vertical" inset="0,0,0,0">
              <w:txbxContent>
                <w:p w:rsidR="0091281E" w:rsidRDefault="0091281E" w:rsidP="0091281E">
                  <w:pPr>
                    <w:spacing w:before="4"/>
                    <w:ind w:left="20"/>
                    <w:rPr>
                      <w:rFonts w:ascii="Arial Black"/>
                      <w:sz w:val="32"/>
                    </w:rPr>
                  </w:pPr>
                  <w:r>
                    <w:rPr>
                      <w:rFonts w:ascii="Arial Black"/>
                      <w:color w:val="FFFFFF"/>
                      <w:spacing w:val="15"/>
                      <w:sz w:val="32"/>
                      <w:shd w:val="clear" w:color="auto" w:fill="072160"/>
                    </w:rPr>
                    <w:t xml:space="preserve">  </w:t>
                  </w:r>
                  <w:r>
                    <w:rPr>
                      <w:rFonts w:ascii="Arial Black"/>
                      <w:color w:val="FFFFFF"/>
                      <w:spacing w:val="-5"/>
                      <w:sz w:val="32"/>
                      <w:shd w:val="clear" w:color="auto" w:fill="072160"/>
                    </w:rPr>
                    <w:t>OP</w:t>
                  </w:r>
                  <w:r>
                    <w:rPr>
                      <w:rFonts w:ascii="Arial Black"/>
                      <w:color w:val="FFFFFF"/>
                      <w:spacing w:val="80"/>
                      <w:w w:val="150"/>
                      <w:sz w:val="32"/>
                      <w:shd w:val="clear" w:color="auto" w:fill="072160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 w:rsidRPr="0020723B">
        <w:rPr>
          <w:rFonts w:ascii="Calibri" w:hAnsi="Calibri" w:cs="Arial"/>
          <w:szCs w:val="20"/>
        </w:rPr>
        <w:t xml:space="preserve">monitoruje czas podawania pierwszej dawki profilaktycznej </w:t>
      </w:r>
      <w:proofErr w:type="spellStart"/>
      <w:r w:rsidRPr="0020723B">
        <w:rPr>
          <w:rFonts w:ascii="Calibri" w:hAnsi="Calibri" w:cs="Arial"/>
          <w:szCs w:val="20"/>
        </w:rPr>
        <w:t>antykoagulacji</w:t>
      </w:r>
      <w:proofErr w:type="spellEnd"/>
      <w:r w:rsidRPr="0020723B">
        <w:rPr>
          <w:rFonts w:ascii="Calibri" w:hAnsi="Calibri" w:cs="Arial"/>
          <w:szCs w:val="20"/>
        </w:rPr>
        <w:t>;</w:t>
      </w:r>
    </w:p>
    <w:p w:rsidR="0091281E" w:rsidRPr="0020723B" w:rsidRDefault="0091281E" w:rsidP="0091281E">
      <w:pPr>
        <w:pStyle w:val="Akapitzlist"/>
        <w:numPr>
          <w:ilvl w:val="2"/>
          <w:numId w:val="1"/>
        </w:numPr>
        <w:tabs>
          <w:tab w:val="left" w:pos="2182"/>
        </w:tabs>
        <w:spacing w:line="247" w:lineRule="auto"/>
        <w:ind w:right="142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określa liczbę niezbędnych urządzeń do prowadzenia przerywanego ucisku pneumatycznego (PUP) w oparciu o:</w:t>
      </w:r>
    </w:p>
    <w:p w:rsidR="0091281E" w:rsidRPr="0020723B" w:rsidRDefault="0091281E" w:rsidP="0091281E">
      <w:pPr>
        <w:pStyle w:val="Akapitzlist"/>
        <w:numPr>
          <w:ilvl w:val="3"/>
          <w:numId w:val="1"/>
        </w:numPr>
        <w:tabs>
          <w:tab w:val="left" w:pos="2521"/>
        </w:tabs>
        <w:spacing w:line="240" w:lineRule="auto"/>
        <w:ind w:left="2521" w:hanging="339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liczbę operowanych pacjentów z dużym ryzykiem zakrzepicy żylnej lub zatoru płuc,</w:t>
      </w:r>
    </w:p>
    <w:p w:rsidR="0091281E" w:rsidRPr="0020723B" w:rsidRDefault="0091281E" w:rsidP="0091281E">
      <w:pPr>
        <w:pStyle w:val="Akapitzlist"/>
        <w:numPr>
          <w:ilvl w:val="3"/>
          <w:numId w:val="1"/>
        </w:numPr>
        <w:tabs>
          <w:tab w:val="left" w:pos="2520"/>
          <w:tab w:val="left" w:pos="2522"/>
        </w:tabs>
        <w:spacing w:before="7" w:line="247" w:lineRule="auto"/>
        <w:ind w:left="2522" w:right="136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rodzaj zabiegów stwarzających wysokie ryzyko zakrzepicy żył głębokich i zatoru płuc w których rutynowo winny być stosowane mankiety PUP w czasie i po zabiegu,</w:t>
      </w:r>
    </w:p>
    <w:p w:rsidR="0091281E" w:rsidRPr="0020723B" w:rsidRDefault="0091281E" w:rsidP="0091281E">
      <w:pPr>
        <w:pStyle w:val="Akapitzlist"/>
        <w:numPr>
          <w:ilvl w:val="3"/>
          <w:numId w:val="1"/>
        </w:numPr>
        <w:tabs>
          <w:tab w:val="left" w:pos="2522"/>
        </w:tabs>
        <w:spacing w:before="2" w:line="247" w:lineRule="auto"/>
        <w:ind w:left="2522" w:right="134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 xml:space="preserve">liczbę pacjentów, u których nie można zastosować </w:t>
      </w:r>
      <w:proofErr w:type="spellStart"/>
      <w:r w:rsidRPr="0020723B">
        <w:rPr>
          <w:rFonts w:ascii="Calibri" w:hAnsi="Calibri" w:cs="Arial"/>
          <w:szCs w:val="20"/>
        </w:rPr>
        <w:t>antykoagulacji</w:t>
      </w:r>
      <w:proofErr w:type="spellEnd"/>
      <w:r w:rsidRPr="0020723B">
        <w:rPr>
          <w:rFonts w:ascii="Calibri" w:hAnsi="Calibri" w:cs="Arial"/>
          <w:szCs w:val="20"/>
        </w:rPr>
        <w:t xml:space="preserve"> farmakologicznej z uwagi na duże ryzyko krwawienia,</w:t>
      </w:r>
    </w:p>
    <w:p w:rsidR="0091281E" w:rsidRPr="0020723B" w:rsidRDefault="0091281E" w:rsidP="0091281E">
      <w:pPr>
        <w:pStyle w:val="Akapitzlist"/>
        <w:numPr>
          <w:ilvl w:val="3"/>
          <w:numId w:val="1"/>
        </w:numPr>
        <w:tabs>
          <w:tab w:val="left" w:pos="2520"/>
          <w:tab w:val="left" w:pos="2522"/>
        </w:tabs>
        <w:spacing w:before="1" w:line="247" w:lineRule="auto"/>
        <w:ind w:left="2522" w:right="1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czas standardowego stosowania PUP zależny od przeciętnego czasu do uruchomienia pacjenta po zabiegu;</w:t>
      </w:r>
    </w:p>
    <w:p w:rsidR="0091281E" w:rsidRPr="0020723B" w:rsidRDefault="0091281E" w:rsidP="0091281E">
      <w:pPr>
        <w:pStyle w:val="Akapitzlist"/>
        <w:numPr>
          <w:ilvl w:val="2"/>
          <w:numId w:val="1"/>
        </w:numPr>
        <w:tabs>
          <w:tab w:val="left" w:pos="2181"/>
        </w:tabs>
        <w:spacing w:line="23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określa osoby odpowiedzialne za wdrożenie i prowadzenie profilaktyki przeciwzakrzepowej;</w:t>
      </w:r>
    </w:p>
    <w:p w:rsidR="0091281E" w:rsidRPr="0020723B" w:rsidRDefault="0091281E" w:rsidP="0091281E">
      <w:pPr>
        <w:pStyle w:val="Akapitzlist"/>
        <w:numPr>
          <w:ilvl w:val="2"/>
          <w:numId w:val="1"/>
        </w:numPr>
        <w:tabs>
          <w:tab w:val="left" w:pos="2182"/>
        </w:tabs>
        <w:spacing w:line="247" w:lineRule="auto"/>
        <w:ind w:right="139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corocznie analizuje, na podstawie dokumentacji medycznej, czy w oddziałach zabiegowych leki oraz przerywany ucisk pneumatyczny w profilaktyce s</w:t>
      </w:r>
      <w:r>
        <w:rPr>
          <w:rFonts w:ascii="Calibri" w:hAnsi="Calibri" w:cs="Arial"/>
          <w:szCs w:val="20"/>
        </w:rPr>
        <w:t>ą stosowane zgodnie ze Standar</w:t>
      </w:r>
      <w:r w:rsidRPr="0020723B">
        <w:rPr>
          <w:rFonts w:ascii="Calibri" w:hAnsi="Calibri" w:cs="Arial"/>
          <w:szCs w:val="20"/>
        </w:rPr>
        <w:t>dową Procedurą Postępowania.</w:t>
      </w:r>
    </w:p>
    <w:p w:rsidR="0091281E" w:rsidRPr="0020723B" w:rsidRDefault="0091281E" w:rsidP="0091281E">
      <w:pPr>
        <w:pStyle w:val="Tekstpodstawowy"/>
        <w:spacing w:before="8"/>
        <w:rPr>
          <w:rFonts w:ascii="Calibri" w:hAnsi="Calibri" w:cs="Arial"/>
          <w:sz w:val="22"/>
        </w:rPr>
      </w:pPr>
    </w:p>
    <w:p w:rsidR="0091281E" w:rsidRPr="0020723B" w:rsidRDefault="0091281E" w:rsidP="0091281E">
      <w:pPr>
        <w:pStyle w:val="Tekstpodstawowy"/>
        <w:spacing w:line="247" w:lineRule="auto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W przypadku odstąpienia od wdrożenia profilaktyki pomimo wskazania, wynikającego z oceny ryzyka, informacja na ten temat powinna znajdować się w historii choroby.</w:t>
      </w:r>
    </w:p>
    <w:p w:rsidR="0091281E" w:rsidRPr="0020723B" w:rsidRDefault="0091281E" w:rsidP="0091281E">
      <w:pPr>
        <w:pStyle w:val="Heading6"/>
        <w:numPr>
          <w:ilvl w:val="0"/>
          <w:numId w:val="1"/>
        </w:numPr>
        <w:tabs>
          <w:tab w:val="left" w:pos="1841"/>
        </w:tabs>
        <w:spacing w:before="165"/>
        <w:ind w:left="1841" w:hanging="374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91281E" w:rsidRPr="0020723B" w:rsidRDefault="0091281E" w:rsidP="0091281E">
      <w:pPr>
        <w:pStyle w:val="Akapitzlist"/>
        <w:numPr>
          <w:ilvl w:val="1"/>
          <w:numId w:val="1"/>
        </w:numPr>
        <w:tabs>
          <w:tab w:val="left" w:pos="2181"/>
        </w:tabs>
        <w:spacing w:before="206"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szpitala;</w:t>
      </w:r>
    </w:p>
    <w:p w:rsidR="0091281E" w:rsidRPr="0020723B" w:rsidRDefault="0091281E" w:rsidP="0091281E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medycznej;</w:t>
      </w:r>
    </w:p>
    <w:p w:rsidR="0091281E" w:rsidRPr="0020723B" w:rsidRDefault="0091281E" w:rsidP="0091281E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personelem;</w:t>
      </w:r>
    </w:p>
    <w:p w:rsidR="0091281E" w:rsidRPr="0020723B" w:rsidRDefault="0091281E" w:rsidP="0091281E">
      <w:pPr>
        <w:pStyle w:val="Akapitzlist"/>
        <w:numPr>
          <w:ilvl w:val="1"/>
          <w:numId w:val="1"/>
        </w:numPr>
        <w:tabs>
          <w:tab w:val="left" w:pos="2181"/>
        </w:tabs>
        <w:spacing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obserwacja bezpośrednia.</w:t>
      </w:r>
    </w:p>
    <w:p w:rsidR="0091281E" w:rsidRPr="0020723B" w:rsidRDefault="0091281E" w:rsidP="0091281E">
      <w:pPr>
        <w:pStyle w:val="Heading6"/>
        <w:numPr>
          <w:ilvl w:val="0"/>
          <w:numId w:val="1"/>
        </w:numPr>
        <w:tabs>
          <w:tab w:val="left" w:pos="1841"/>
        </w:tabs>
        <w:spacing w:before="171"/>
        <w:ind w:left="1841" w:hanging="382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lastRenderedPageBreak/>
        <w:t>Ocena punktowa</w:t>
      </w:r>
    </w:p>
    <w:p w:rsidR="0091281E" w:rsidRPr="0020723B" w:rsidRDefault="0091281E" w:rsidP="0091281E">
      <w:pPr>
        <w:pStyle w:val="Tekstpodstawowy"/>
        <w:tabs>
          <w:tab w:val="left" w:pos="2182"/>
        </w:tabs>
        <w:spacing w:before="206" w:line="247" w:lineRule="auto"/>
        <w:ind w:left="2182" w:right="144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W szpitalu wdrożono profilaktykę żylnej choroby zakrzepowo-zatorowej zgodnie z wymogami standardu.</w:t>
      </w:r>
    </w:p>
    <w:p w:rsidR="0091281E" w:rsidRPr="0020723B" w:rsidRDefault="0091281E" w:rsidP="0091281E">
      <w:pPr>
        <w:pStyle w:val="Tekstpodstawowy"/>
        <w:tabs>
          <w:tab w:val="left" w:pos="2182"/>
        </w:tabs>
        <w:spacing w:line="247" w:lineRule="auto"/>
        <w:ind w:left="2182" w:right="145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3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podejmuje intensywne działania mające na celu spełnienie standardu (co najmniej 60% kamieni milowych jest spełnionych).</w:t>
      </w:r>
    </w:p>
    <w:p w:rsidR="0091281E" w:rsidRPr="0020723B" w:rsidRDefault="0091281E" w:rsidP="0091281E">
      <w:pPr>
        <w:pStyle w:val="Tekstpodstawowy"/>
        <w:tabs>
          <w:tab w:val="left" w:pos="2182"/>
        </w:tabs>
        <w:spacing w:line="247" w:lineRule="auto"/>
        <w:ind w:left="2182" w:right="144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W szpitalu nie wdrożono profilaktyki żylnej choroby zakrz</w:t>
      </w:r>
      <w:r>
        <w:rPr>
          <w:rFonts w:ascii="Calibri" w:hAnsi="Calibri" w:cs="Arial"/>
          <w:sz w:val="22"/>
        </w:rPr>
        <w:t>epowo-zatorowej zgodnie z wymo</w:t>
      </w:r>
      <w:r w:rsidRPr="0020723B">
        <w:rPr>
          <w:rFonts w:ascii="Calibri" w:hAnsi="Calibri" w:cs="Arial"/>
          <w:sz w:val="22"/>
        </w:rPr>
        <w:t>gami standardu.</w:t>
      </w:r>
    </w:p>
    <w:p w:rsidR="0091281E" w:rsidRPr="0020723B" w:rsidRDefault="0091281E" w:rsidP="0091281E">
      <w:pPr>
        <w:pStyle w:val="Heading6"/>
        <w:numPr>
          <w:ilvl w:val="0"/>
          <w:numId w:val="1"/>
        </w:numPr>
        <w:tabs>
          <w:tab w:val="left" w:pos="1842"/>
        </w:tabs>
        <w:spacing w:before="143"/>
        <w:ind w:left="1842" w:hanging="400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Kamienie milowe</w:t>
      </w:r>
    </w:p>
    <w:p w:rsidR="0091281E" w:rsidRPr="0020723B" w:rsidRDefault="0091281E" w:rsidP="0091281E">
      <w:pPr>
        <w:pStyle w:val="Akapitzlist"/>
        <w:numPr>
          <w:ilvl w:val="1"/>
          <w:numId w:val="1"/>
        </w:numPr>
        <w:tabs>
          <w:tab w:val="left" w:pos="2181"/>
        </w:tabs>
        <w:spacing w:before="205"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roby zakrzepowo-zatorowej w oparciu o aktualne wytyczne kliniczne;</w:t>
      </w:r>
    </w:p>
    <w:p w:rsidR="0091281E" w:rsidRPr="0020723B" w:rsidRDefault="0091281E" w:rsidP="0091281E">
      <w:pPr>
        <w:pStyle w:val="Akapitzlist"/>
        <w:numPr>
          <w:ilvl w:val="1"/>
          <w:numId w:val="1"/>
        </w:numPr>
        <w:tabs>
          <w:tab w:val="left" w:pos="2182"/>
        </w:tabs>
        <w:spacing w:line="247" w:lineRule="auto"/>
        <w:ind w:left="2182" w:right="139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 xml:space="preserve">Standardowa Procedura Postępowania w profilaktyce żylnej choroby zakrzepowo-zatorowej uwzględnia grupy szczególne pacjentów np. </w:t>
      </w:r>
      <w:proofErr w:type="spellStart"/>
      <w:r w:rsidRPr="0020723B">
        <w:rPr>
          <w:rFonts w:ascii="Calibri" w:hAnsi="Calibri" w:cs="Arial"/>
          <w:szCs w:val="20"/>
        </w:rPr>
        <w:t>Trombofilia</w:t>
      </w:r>
      <w:proofErr w:type="spellEnd"/>
      <w:r w:rsidRPr="0020723B">
        <w:rPr>
          <w:rFonts w:ascii="Calibri" w:hAnsi="Calibri" w:cs="Arial"/>
          <w:szCs w:val="20"/>
        </w:rPr>
        <w:t>;</w:t>
      </w:r>
    </w:p>
    <w:p w:rsidR="0091281E" w:rsidRPr="0020723B" w:rsidRDefault="0091281E" w:rsidP="0091281E">
      <w:pPr>
        <w:pStyle w:val="Akapitzlist"/>
        <w:numPr>
          <w:ilvl w:val="1"/>
          <w:numId w:val="1"/>
        </w:numPr>
        <w:tabs>
          <w:tab w:val="left" w:pos="2182"/>
        </w:tabs>
        <w:spacing w:line="247" w:lineRule="auto"/>
        <w:ind w:left="2182" w:right="139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Standardowa Procedura Postępowania w profilaktyce żylnej choroby zakrzepowo-zatorowej obejmuje udokumentowaną ocenę pacjentów pod względem ryzyka wystąpienia choroby zakrzepowo-zatorowej opartą o jedną z ogólnie przyjętych skal oceny ryzyka;</w:t>
      </w:r>
    </w:p>
    <w:p w:rsidR="0091281E" w:rsidRPr="0020723B" w:rsidRDefault="0091281E" w:rsidP="0091281E">
      <w:pPr>
        <w:pStyle w:val="Akapitzlist"/>
        <w:numPr>
          <w:ilvl w:val="1"/>
          <w:numId w:val="1"/>
        </w:numPr>
        <w:tabs>
          <w:tab w:val="left" w:pos="2182"/>
        </w:tabs>
        <w:spacing w:line="247" w:lineRule="auto"/>
        <w:ind w:left="2182" w:right="139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Standardowa Procedura Postępowania w profilaktyce żylnej choroby zakrzepowo-zatorowej obejmuje kwalifikację do poszczególnych grup ryzyka;</w:t>
      </w:r>
    </w:p>
    <w:p w:rsidR="0091281E" w:rsidRPr="0020723B" w:rsidRDefault="0091281E" w:rsidP="0091281E">
      <w:pPr>
        <w:pStyle w:val="Akapitzlist"/>
        <w:numPr>
          <w:ilvl w:val="1"/>
          <w:numId w:val="1"/>
        </w:numPr>
        <w:tabs>
          <w:tab w:val="left" w:pos="2182"/>
        </w:tabs>
        <w:spacing w:line="247" w:lineRule="auto"/>
        <w:ind w:left="2182" w:right="139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Standardowa Procedura Postępowania w profilaktyce żylnej choroby zakrzepowo-zatorowej obejmuje określenie dostępności leków i sprzętu wymaganych standardem;</w:t>
      </w:r>
    </w:p>
    <w:p w:rsidR="0091281E" w:rsidRPr="0020723B" w:rsidRDefault="0091281E" w:rsidP="0091281E">
      <w:pPr>
        <w:pStyle w:val="Akapitzlist"/>
        <w:numPr>
          <w:ilvl w:val="1"/>
          <w:numId w:val="1"/>
        </w:numPr>
        <w:tabs>
          <w:tab w:val="left" w:pos="2182"/>
        </w:tabs>
        <w:spacing w:line="247" w:lineRule="auto"/>
        <w:ind w:left="2182" w:right="139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Standardowa Procedura Postępowania w profilaktyce żylnej choroby zakrzepowo-zatorowej obejmuje określenie dostępności do właściwych badań diagnostycznych;</w:t>
      </w:r>
    </w:p>
    <w:p w:rsidR="0091281E" w:rsidRPr="0020723B" w:rsidRDefault="0091281E" w:rsidP="0091281E">
      <w:pPr>
        <w:pStyle w:val="Akapitzlist"/>
        <w:numPr>
          <w:ilvl w:val="1"/>
          <w:numId w:val="1"/>
        </w:numPr>
        <w:tabs>
          <w:tab w:val="left" w:pos="2182"/>
        </w:tabs>
        <w:spacing w:line="247" w:lineRule="auto"/>
        <w:ind w:left="2182" w:right="139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Standardowa Procedura Postępowania w profilaktyce żylnej choroby zakrzepowo-zatorowej obejmuje ocenę wdrożenia i skuteczności prowadzonej profilaktyki;</w:t>
      </w:r>
    </w:p>
    <w:p w:rsidR="0091281E" w:rsidRPr="0020723B" w:rsidRDefault="0091281E" w:rsidP="0091281E">
      <w:pPr>
        <w:pStyle w:val="Akapitzlist"/>
        <w:numPr>
          <w:ilvl w:val="1"/>
          <w:numId w:val="1"/>
        </w:numPr>
        <w:tabs>
          <w:tab w:val="left" w:pos="2182"/>
        </w:tabs>
        <w:spacing w:line="247" w:lineRule="auto"/>
        <w:ind w:left="2182" w:right="139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profilaktyka żylnej choroby zakrzepowo-zatorowej obejmuje metody farmakologiczne zgodnie z przyjętymi wytycznymi;</w:t>
      </w:r>
    </w:p>
    <w:p w:rsidR="0091281E" w:rsidRPr="0020723B" w:rsidRDefault="0091281E" w:rsidP="0091281E">
      <w:pPr>
        <w:pStyle w:val="Akapitzlist"/>
        <w:numPr>
          <w:ilvl w:val="1"/>
          <w:numId w:val="1"/>
        </w:numPr>
        <w:tabs>
          <w:tab w:val="left" w:pos="2182"/>
        </w:tabs>
        <w:spacing w:line="247" w:lineRule="auto"/>
        <w:ind w:left="2182" w:right="140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profilaktyka żylnej choroby zakrzepowo-zatorowej obejmuje metody mechaniczne zgodnie z przyjętymi wytycznymi;</w:t>
      </w:r>
    </w:p>
    <w:p w:rsidR="0091281E" w:rsidRPr="0020723B" w:rsidRDefault="0091281E" w:rsidP="0091281E">
      <w:pPr>
        <w:pStyle w:val="Akapitzlist"/>
        <w:numPr>
          <w:ilvl w:val="1"/>
          <w:numId w:val="1"/>
        </w:numPr>
        <w:tabs>
          <w:tab w:val="left" w:pos="2182"/>
        </w:tabs>
        <w:spacing w:line="231" w:lineRule="exact"/>
        <w:ind w:left="2182" w:hanging="454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 xml:space="preserve">szpital monitoruje czas podawania pierwszej dawki profilaktycznej </w:t>
      </w:r>
      <w:proofErr w:type="spellStart"/>
      <w:r w:rsidRPr="0020723B">
        <w:rPr>
          <w:rFonts w:ascii="Calibri" w:hAnsi="Calibri" w:cs="Arial"/>
          <w:szCs w:val="20"/>
        </w:rPr>
        <w:t>antykoagulacji</w:t>
      </w:r>
      <w:proofErr w:type="spellEnd"/>
      <w:r w:rsidRPr="0020723B">
        <w:rPr>
          <w:rFonts w:ascii="Calibri" w:hAnsi="Calibri" w:cs="Arial"/>
          <w:szCs w:val="20"/>
        </w:rPr>
        <w:t>;</w:t>
      </w:r>
    </w:p>
    <w:p w:rsidR="0091281E" w:rsidRPr="0020723B" w:rsidRDefault="0091281E" w:rsidP="0091281E">
      <w:pPr>
        <w:pStyle w:val="Akapitzlist"/>
        <w:numPr>
          <w:ilvl w:val="1"/>
          <w:numId w:val="1"/>
        </w:numPr>
        <w:tabs>
          <w:tab w:val="left" w:pos="2182"/>
        </w:tabs>
        <w:spacing w:line="247" w:lineRule="auto"/>
        <w:ind w:left="2182" w:right="139" w:hanging="455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szpital określa liczbę niezbędnych urządzeń do prowadze</w:t>
      </w:r>
      <w:r>
        <w:rPr>
          <w:rFonts w:ascii="Calibri" w:hAnsi="Calibri" w:cs="Arial"/>
          <w:szCs w:val="20"/>
        </w:rPr>
        <w:t>nia przerywanego ucisku pneuma</w:t>
      </w:r>
      <w:r w:rsidRPr="0020723B">
        <w:rPr>
          <w:rFonts w:ascii="Calibri" w:hAnsi="Calibri" w:cs="Arial"/>
          <w:szCs w:val="20"/>
        </w:rPr>
        <w:t>tycznego (PUP);</w:t>
      </w:r>
    </w:p>
    <w:p w:rsidR="0091281E" w:rsidRPr="0020723B" w:rsidRDefault="0091281E" w:rsidP="0091281E">
      <w:pPr>
        <w:pStyle w:val="Akapitzlist"/>
        <w:numPr>
          <w:ilvl w:val="1"/>
          <w:numId w:val="1"/>
        </w:numPr>
        <w:tabs>
          <w:tab w:val="left" w:pos="1615"/>
        </w:tabs>
        <w:spacing w:before="79" w:line="242" w:lineRule="exact"/>
        <w:ind w:hanging="448"/>
        <w:rPr>
          <w:rFonts w:ascii="Calibri" w:hAnsi="Calibri" w:cs="Arial"/>
          <w:szCs w:val="20"/>
        </w:rPr>
      </w:pPr>
      <w:r>
        <w:rPr>
          <w:rFonts w:ascii="Calibri" w:hAnsi="Calibri" w:cs="Arial"/>
          <w:szCs w:val="20"/>
        </w:rPr>
        <w:pict>
          <v:rect id="docshape1675" o:spid="_x0000_s1028" style="position:absolute;left:0;text-align:left;margin-left:0;margin-top:331.15pt;width:28.35pt;height:47.95pt;z-index:251662336;mso-position-horizontal-relative:page;mso-position-vertical-relative:page" fillcolor="#072160" stroked="f">
            <w10:wrap anchorx="page" anchory="page"/>
          </v:rect>
        </w:pict>
      </w:r>
      <w:r w:rsidRPr="0020723B">
        <w:rPr>
          <w:rFonts w:ascii="Calibri" w:hAnsi="Calibri" w:cs="Arial"/>
          <w:szCs w:val="20"/>
        </w:rPr>
        <w:t>szpital określa osoby odpowiedzialne za wdrożenie i prowadzenie profilaktyki przeciwzakrzepowej;</w:t>
      </w:r>
    </w:p>
    <w:p w:rsidR="0091281E" w:rsidRPr="0020723B" w:rsidRDefault="0091281E" w:rsidP="0091281E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right="706" w:hanging="455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szpital raz w roku analizuje, na podstawie dokumentacji med</w:t>
      </w:r>
      <w:r>
        <w:rPr>
          <w:rFonts w:ascii="Calibri" w:hAnsi="Calibri" w:cs="Arial"/>
          <w:szCs w:val="20"/>
        </w:rPr>
        <w:t>ycznej, czy w oddziałach zabie</w:t>
      </w:r>
      <w:r w:rsidRPr="0020723B">
        <w:rPr>
          <w:rFonts w:ascii="Calibri" w:hAnsi="Calibri" w:cs="Arial"/>
          <w:szCs w:val="20"/>
        </w:rPr>
        <w:t>gowych leki oraz przerywany ucisk pneumatyczny w profilaktyce są stosowane zgodnie ze Standardową Procedurą Postępowania;</w:t>
      </w:r>
    </w:p>
    <w:p w:rsidR="0091281E" w:rsidRPr="0020723B" w:rsidRDefault="0091281E" w:rsidP="0091281E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right="706" w:hanging="455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 przypadku odstąpienia od wdrożenia profilaktyki pomimo wskazania, wynikającego z oceny ryzyka, informacja na ten temat umieszczana jest w historii choroby.</w:t>
      </w:r>
    </w:p>
    <w:p w:rsidR="0091281E" w:rsidRPr="0020723B" w:rsidRDefault="0091281E" w:rsidP="0091281E">
      <w:pPr>
        <w:pStyle w:val="Tekstpodstawowy"/>
        <w:spacing w:before="229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Co najmniej 60% stanowi 9 kamieni milowych.</w:t>
      </w:r>
    </w:p>
    <w:p w:rsidR="0091281E" w:rsidRPr="0020723B" w:rsidRDefault="0091281E" w:rsidP="0091281E">
      <w:pPr>
        <w:pStyle w:val="Heading9"/>
        <w:ind w:left="1275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0,75</w:t>
      </w:r>
    </w:p>
    <w:p w:rsidR="00427D73" w:rsidRDefault="0091281E"/>
    <w:sectPr w:rsidR="00427D73" w:rsidSect="00BB01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2CA6497"/>
    <w:multiLevelType w:val="hybridMultilevel"/>
    <w:tmpl w:val="8E7CD498"/>
    <w:lvl w:ilvl="0" w:tplc="5CB2B088">
      <w:start w:val="1"/>
      <w:numFmt w:val="decimal"/>
      <w:lvlText w:val="%1."/>
      <w:lvlJc w:val="left"/>
      <w:pPr>
        <w:ind w:left="1275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FE34AD94">
      <w:start w:val="1"/>
      <w:numFmt w:val="decimal"/>
      <w:lvlText w:val="%2)"/>
      <w:lvlJc w:val="left"/>
      <w:pPr>
        <w:ind w:left="1615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A6FA68C0">
      <w:start w:val="1"/>
      <w:numFmt w:val="decimal"/>
      <w:lvlText w:val="%3)"/>
      <w:lvlJc w:val="left"/>
      <w:pPr>
        <w:ind w:left="2182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3" w:tplc="E45C30AE">
      <w:start w:val="1"/>
      <w:numFmt w:val="lowerLetter"/>
      <w:lvlText w:val="%4)"/>
      <w:lvlJc w:val="left"/>
      <w:pPr>
        <w:ind w:left="2523" w:hanging="341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5"/>
        <w:sz w:val="20"/>
        <w:szCs w:val="20"/>
        <w:lang w:val="pl-PL" w:eastAsia="en-US" w:bidi="ar-SA"/>
      </w:rPr>
    </w:lvl>
    <w:lvl w:ilvl="4" w:tplc="1196291E">
      <w:numFmt w:val="bullet"/>
      <w:lvlText w:val="•"/>
      <w:lvlJc w:val="left"/>
      <w:pPr>
        <w:ind w:left="3577" w:hanging="341"/>
      </w:pPr>
      <w:rPr>
        <w:rFonts w:hint="default"/>
        <w:lang w:val="pl-PL" w:eastAsia="en-US" w:bidi="ar-SA"/>
      </w:rPr>
    </w:lvl>
    <w:lvl w:ilvl="5" w:tplc="DE7CE440">
      <w:numFmt w:val="bullet"/>
      <w:lvlText w:val="•"/>
      <w:lvlJc w:val="left"/>
      <w:pPr>
        <w:ind w:left="4634" w:hanging="341"/>
      </w:pPr>
      <w:rPr>
        <w:rFonts w:hint="default"/>
        <w:lang w:val="pl-PL" w:eastAsia="en-US" w:bidi="ar-SA"/>
      </w:rPr>
    </w:lvl>
    <w:lvl w:ilvl="6" w:tplc="23A8645C">
      <w:numFmt w:val="bullet"/>
      <w:lvlText w:val="•"/>
      <w:lvlJc w:val="left"/>
      <w:pPr>
        <w:ind w:left="5692" w:hanging="341"/>
      </w:pPr>
      <w:rPr>
        <w:rFonts w:hint="default"/>
        <w:lang w:val="pl-PL" w:eastAsia="en-US" w:bidi="ar-SA"/>
      </w:rPr>
    </w:lvl>
    <w:lvl w:ilvl="7" w:tplc="7F0EBB38">
      <w:numFmt w:val="bullet"/>
      <w:lvlText w:val="•"/>
      <w:lvlJc w:val="left"/>
      <w:pPr>
        <w:ind w:left="6749" w:hanging="341"/>
      </w:pPr>
      <w:rPr>
        <w:rFonts w:hint="default"/>
        <w:lang w:val="pl-PL" w:eastAsia="en-US" w:bidi="ar-SA"/>
      </w:rPr>
    </w:lvl>
    <w:lvl w:ilvl="8" w:tplc="F0EE7E50">
      <w:numFmt w:val="bullet"/>
      <w:lvlText w:val="•"/>
      <w:lvlJc w:val="left"/>
      <w:pPr>
        <w:ind w:left="7806" w:hanging="341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91281E"/>
    <w:rsid w:val="000745AD"/>
    <w:rsid w:val="00682510"/>
    <w:rsid w:val="0091281E"/>
    <w:rsid w:val="00BB01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91281E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91281E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91281E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91281E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91281E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91281E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91281E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650</Words>
  <Characters>3903</Characters>
  <Application>Microsoft Office Word</Application>
  <DocSecurity>0</DocSecurity>
  <Lines>32</Lines>
  <Paragraphs>9</Paragraphs>
  <ScaleCrop>false</ScaleCrop>
  <Company/>
  <LinksUpToDate>false</LinksUpToDate>
  <CharactersWithSpaces>4544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2025-07-15T09:15:00Z</dcterms:created>
  <dcterms:modified xsi:type="dcterms:W3CDTF">2025-07-15T09:16:00Z</dcterms:modified>
</cp:coreProperties>
</file>