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F69" w:rsidRPr="0002230A" w:rsidRDefault="00352F69" w:rsidP="00352F69">
      <w:pPr>
        <w:pStyle w:val="Heading4"/>
        <w:spacing w:before="1" w:line="194" w:lineRule="auto"/>
        <w:ind w:left="1862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93" o:spid="_x0000_s1026" type="#_x0000_t202" style="position:absolute;left:0;text-align:left;margin-left:86.05pt;margin-top:-11.3pt;width:45.4pt;height:65pt;z-index:251660288;mso-position-horizontal-relative:page" filled="f" strokecolor="#bee3eb" strokeweight="2pt">
            <v:textbox inset="0,0,0,0">
              <w:txbxContent>
                <w:p w:rsidR="00352F69" w:rsidRDefault="00352F69" w:rsidP="00352F69">
                  <w:pPr>
                    <w:pStyle w:val="Tekstpodstawowy"/>
                    <w:spacing w:before="31"/>
                    <w:rPr>
                      <w:rFonts w:ascii="Tahoma"/>
                      <w:b/>
                      <w:sz w:val="24"/>
                    </w:rPr>
                  </w:pPr>
                </w:p>
                <w:p w:rsidR="00352F69" w:rsidRDefault="00352F69" w:rsidP="00352F69">
                  <w:pPr>
                    <w:spacing w:line="319" w:lineRule="exact"/>
                    <w:ind w:left="19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PAT</w:t>
                  </w:r>
                </w:p>
                <w:p w:rsidR="00352F69" w:rsidRDefault="00352F69" w:rsidP="00352F69">
                  <w:pPr>
                    <w:spacing w:line="319" w:lineRule="exact"/>
                    <w:ind w:left="26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2.2</w:t>
                  </w:r>
                </w:p>
              </w:txbxContent>
            </v:textbox>
            <w10:wrap anchorx="page"/>
          </v:shape>
        </w:pict>
      </w:r>
      <w:r w:rsidRPr="0002230A">
        <w:rPr>
          <w:rFonts w:ascii="Calibri" w:hAnsi="Calibri" w:cs="Arial"/>
          <w:sz w:val="22"/>
          <w:szCs w:val="20"/>
        </w:rPr>
        <w:t>MATERIAŁ DO DIAGNOSTYKI PATOMORFOLOGICZNEJ JEST PRAWIDŁOWO UTRWALANY</w:t>
      </w:r>
    </w:p>
    <w:p w:rsidR="00352F69" w:rsidRPr="0002230A" w:rsidRDefault="00352F69" w:rsidP="00352F69">
      <w:pPr>
        <w:pStyle w:val="Heading4"/>
        <w:spacing w:line="337" w:lineRule="exact"/>
        <w:ind w:left="1862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(STANDARD MOŻE BYĆ WYŁĄCZONY).</w:t>
      </w:r>
    </w:p>
    <w:p w:rsidR="00352F69" w:rsidRPr="0002230A" w:rsidRDefault="00352F69" w:rsidP="00352F69">
      <w:pPr>
        <w:pStyle w:val="Heading6"/>
        <w:numPr>
          <w:ilvl w:val="0"/>
          <w:numId w:val="1"/>
        </w:numPr>
        <w:tabs>
          <w:tab w:val="left" w:pos="1842"/>
        </w:tabs>
        <w:spacing w:before="352"/>
        <w:ind w:hanging="328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Opis wymagań</w:t>
      </w:r>
    </w:p>
    <w:p w:rsidR="00352F69" w:rsidRPr="0002230A" w:rsidRDefault="00352F69" w:rsidP="00352F69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Czas utrwalania oraz objętość utrwalacza mają istotny wpływ na jakość badań patomorfologicznych. Zbyt długi czas utrwalania pogarsza jakość materiału przesyłan</w:t>
      </w:r>
      <w:r>
        <w:rPr>
          <w:rFonts w:ascii="Calibri" w:hAnsi="Calibri" w:cs="Arial"/>
          <w:sz w:val="22"/>
        </w:rPr>
        <w:t>ego do badań oraz jego przydat</w:t>
      </w:r>
      <w:r w:rsidRPr="0002230A">
        <w:rPr>
          <w:rFonts w:ascii="Calibri" w:hAnsi="Calibri" w:cs="Arial"/>
          <w:sz w:val="22"/>
        </w:rPr>
        <w:t>ność do badań immunohistochemicznych oraz badań przy użyciu technik biologii molekularnej; może też prowadzić do zniszczenia materiału. Szpital określa zasady utrwalania, które obejmują informacje na temat rodzaju utrwalacza i jego zalecanej objętości oraz czasu utrwalania materiału, w oparciu o wytyczne Polskiego Towarzystwa Patologów.</w:t>
      </w:r>
    </w:p>
    <w:p w:rsidR="00352F69" w:rsidRPr="0002230A" w:rsidRDefault="00352F69" w:rsidP="00352F69">
      <w:pPr>
        <w:pStyle w:val="Tekstpodstawowy"/>
        <w:spacing w:before="13"/>
        <w:rPr>
          <w:rFonts w:ascii="Calibri" w:hAnsi="Calibri" w:cs="Arial"/>
          <w:sz w:val="22"/>
        </w:rPr>
      </w:pPr>
    </w:p>
    <w:p w:rsidR="00352F69" w:rsidRPr="0002230A" w:rsidRDefault="00352F69" w:rsidP="00352F69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Szpital nadzoruje sposób utrwalania materiałów do badań patomorfologicznych (czas i objętość); czas przekazania do jednostki diagnostyki patomorfologicznej:</w:t>
      </w:r>
    </w:p>
    <w:p w:rsidR="00352F69" w:rsidRPr="0002230A" w:rsidRDefault="00352F69" w:rsidP="00352F69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małych wycinków nie może przekroczyć 48 godz.;</w:t>
      </w:r>
    </w:p>
    <w:p w:rsidR="00352F69" w:rsidRPr="0002230A" w:rsidRDefault="00352F69" w:rsidP="00352F6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większego materiału operacyjnego 72 godz.</w:t>
      </w:r>
    </w:p>
    <w:p w:rsidR="00352F69" w:rsidRPr="0002230A" w:rsidRDefault="00352F69" w:rsidP="00352F69">
      <w:pPr>
        <w:pStyle w:val="Tekstpodstawowy"/>
        <w:spacing w:before="15"/>
        <w:rPr>
          <w:rFonts w:ascii="Calibri" w:hAnsi="Calibri" w:cs="Arial"/>
          <w:sz w:val="22"/>
        </w:rPr>
      </w:pPr>
    </w:p>
    <w:p w:rsidR="00352F69" w:rsidRPr="0002230A" w:rsidRDefault="00352F69" w:rsidP="00352F69">
      <w:pPr>
        <w:pStyle w:val="Tekstpodstawowy"/>
        <w:spacing w:line="247" w:lineRule="auto"/>
        <w:ind w:left="1842" w:right="137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Czas utrwalania – dla małego materiału czas utrwalania wynosi od 6 do 48 godz., dla dużego materiału pooperacyjnego od 24 do 72 godz. Czas ten liczony jest od chwili zalania materiału formaliną do momentu pobrania reprezentatywnych wycinków tkank</w:t>
      </w:r>
      <w:r>
        <w:rPr>
          <w:rFonts w:ascii="Calibri" w:hAnsi="Calibri" w:cs="Arial"/>
          <w:sz w:val="22"/>
        </w:rPr>
        <w:t>owych do dalszego opra</w:t>
      </w:r>
      <w:r w:rsidRPr="0002230A">
        <w:rPr>
          <w:rFonts w:ascii="Calibri" w:hAnsi="Calibri" w:cs="Arial"/>
          <w:sz w:val="22"/>
        </w:rPr>
        <w:t>cowania technicznego w jednostce diagnostyki patomorfologicznej.</w:t>
      </w:r>
    </w:p>
    <w:p w:rsidR="00352F69" w:rsidRPr="0002230A" w:rsidRDefault="00352F69" w:rsidP="00352F69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Sposób sprawdzenia</w:t>
      </w:r>
    </w:p>
    <w:p w:rsidR="00352F69" w:rsidRPr="0002230A" w:rsidRDefault="00352F69" w:rsidP="00352F69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przegląd dokumentacji szpitala;</w:t>
      </w:r>
    </w:p>
    <w:p w:rsidR="00352F69" w:rsidRPr="0002230A" w:rsidRDefault="00352F69" w:rsidP="00352F6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wywiad z personelem;</w:t>
      </w:r>
    </w:p>
    <w:p w:rsidR="00352F69" w:rsidRPr="0002230A" w:rsidRDefault="00352F69" w:rsidP="00352F6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obserwacja bezpośrednia.</w:t>
      </w:r>
    </w:p>
    <w:p w:rsidR="00352F69" w:rsidRPr="0002230A" w:rsidRDefault="00352F69" w:rsidP="00352F69">
      <w:pPr>
        <w:pStyle w:val="Tekstpodstawowy"/>
        <w:spacing w:before="179"/>
        <w:rPr>
          <w:rFonts w:ascii="Calibri" w:hAnsi="Calibri" w:cs="Arial"/>
          <w:sz w:val="22"/>
        </w:rPr>
      </w:pPr>
    </w:p>
    <w:p w:rsidR="00352F69" w:rsidRPr="0002230A" w:rsidRDefault="00352F69" w:rsidP="00352F69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Ocena punktowa</w:t>
      </w:r>
    </w:p>
    <w:p w:rsidR="00352F69" w:rsidRPr="0002230A" w:rsidRDefault="00352F69" w:rsidP="00352F69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5</w:t>
      </w:r>
      <w:r w:rsidRPr="0002230A">
        <w:rPr>
          <w:rFonts w:ascii="Calibri" w:hAnsi="Calibri" w:cs="Arial"/>
          <w:sz w:val="22"/>
        </w:rPr>
        <w:tab/>
        <w:t>Materiał do diagnostyki patomorfologicznej jest utrwalany zgodnie z wymogami standardu.</w:t>
      </w:r>
    </w:p>
    <w:p w:rsidR="00352F69" w:rsidRPr="0002230A" w:rsidRDefault="00352F69" w:rsidP="00352F69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1</w:t>
      </w:r>
      <w:r w:rsidRPr="0002230A">
        <w:rPr>
          <w:rFonts w:ascii="Calibri" w:hAnsi="Calibri" w:cs="Arial"/>
          <w:sz w:val="22"/>
        </w:rPr>
        <w:tab/>
        <w:t>Materiał do diagnostyki patomorfologicznej nie jest utrwalany zgodnie z wymogami standardu.</w:t>
      </w:r>
    </w:p>
    <w:p w:rsidR="00352F69" w:rsidRPr="0002230A" w:rsidRDefault="00352F69" w:rsidP="00352F69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Default="00352F69" w:rsidP="00352F69">
      <w:pPr>
        <w:ind w:firstLine="1843"/>
      </w:pPr>
      <w:r w:rsidRPr="0002230A">
        <w:rPr>
          <w:rFonts w:ascii="Calibri" w:hAnsi="Calibri" w:cs="Arial"/>
        </w:rPr>
        <w:t>Waga standardu – 1</w:t>
      </w:r>
    </w:p>
    <w:sectPr w:rsidR="00427D73" w:rsidSect="00B70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6C6AAE"/>
    <w:multiLevelType w:val="hybridMultilevel"/>
    <w:tmpl w:val="A5A8BF84"/>
    <w:lvl w:ilvl="0" w:tplc="C9BCE06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480192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5AADAC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FD8437A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F70876D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FC448586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CD408DF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BF804842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61CEA50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52F69"/>
    <w:rsid w:val="000745AD"/>
    <w:rsid w:val="00352F69"/>
    <w:rsid w:val="00682510"/>
    <w:rsid w:val="00B70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52F6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52F6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52F6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52F6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52F6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352F6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2025-10-27T09:26:00Z</dcterms:created>
  <dcterms:modified xsi:type="dcterms:W3CDTF">2025-10-27T09:26:00Z</dcterms:modified>
</cp:coreProperties>
</file>