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EE4" w:rsidRPr="0002230A" w:rsidRDefault="007B1EE4" w:rsidP="007B1EE4">
      <w:pPr>
        <w:pStyle w:val="Tekstpodstawowy"/>
        <w:spacing w:before="221"/>
        <w:rPr>
          <w:rFonts w:ascii="Calibri" w:hAnsi="Calibri" w:cs="Arial"/>
          <w:sz w:val="22"/>
        </w:rPr>
      </w:pPr>
    </w:p>
    <w:p w:rsidR="007B1EE4" w:rsidRPr="0002230A" w:rsidRDefault="007B1EE4" w:rsidP="007B1EE4">
      <w:pPr>
        <w:pStyle w:val="Heading4"/>
        <w:spacing w:before="1"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96" o:spid="_x0000_s1026" type="#_x0000_t202" style="position:absolute;left:0;text-align:left;margin-left:57.7pt;margin-top:-10.5pt;width:45.4pt;height:63.35pt;z-index:251660288;mso-position-horizontal-relative:page" filled="f" strokecolor="#bee3eb" strokeweight="2pt">
            <v:textbox inset="0,0,0,0">
              <w:txbxContent>
                <w:p w:rsidR="007B1EE4" w:rsidRDefault="007B1EE4" w:rsidP="007B1EE4">
                  <w:pPr>
                    <w:pStyle w:val="Tekstpodstawowy"/>
                    <w:spacing w:before="15"/>
                    <w:rPr>
                      <w:rFonts w:ascii="Tahoma"/>
                      <w:b/>
                      <w:sz w:val="24"/>
                    </w:rPr>
                  </w:pPr>
                </w:p>
                <w:p w:rsidR="007B1EE4" w:rsidRDefault="007B1EE4" w:rsidP="007B1EE4">
                  <w:pPr>
                    <w:spacing w:line="319" w:lineRule="exact"/>
                    <w:ind w:left="19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PAT</w:t>
                  </w:r>
                </w:p>
                <w:p w:rsidR="007B1EE4" w:rsidRDefault="007B1EE4" w:rsidP="007B1EE4">
                  <w:pPr>
                    <w:spacing w:line="319" w:lineRule="exact"/>
                    <w:ind w:left="25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2.3</w:t>
                  </w:r>
                </w:p>
              </w:txbxContent>
            </v:textbox>
            <w10:wrap anchorx="page"/>
          </v:shape>
        </w:pict>
      </w:r>
      <w:r w:rsidRPr="0002230A">
        <w:rPr>
          <w:rFonts w:ascii="Calibri" w:hAnsi="Calibri" w:cs="Arial"/>
          <w:sz w:val="22"/>
          <w:szCs w:val="20"/>
        </w:rPr>
        <w:t>MATERIAŁ DO BADAŃ PATOMORFOLOGICZNYCH JEST PRAWIDŁOWO ZABEZPIECZONY I PRZEKAZYWANY</w:t>
      </w:r>
    </w:p>
    <w:p w:rsidR="007B1EE4" w:rsidRPr="0002230A" w:rsidRDefault="007B1EE4" w:rsidP="007B1EE4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(STANDARD MOŻE BYĆ WYŁĄCZONY).</w:t>
      </w:r>
    </w:p>
    <w:p w:rsidR="007B1EE4" w:rsidRPr="0002230A" w:rsidRDefault="007B1EE4" w:rsidP="007B1EE4">
      <w:pPr>
        <w:pStyle w:val="Tekstpodstawowy"/>
        <w:spacing w:before="110"/>
        <w:rPr>
          <w:rFonts w:ascii="Calibri" w:hAnsi="Calibri" w:cs="Arial"/>
          <w:sz w:val="22"/>
        </w:rPr>
      </w:pPr>
    </w:p>
    <w:p w:rsidR="007B1EE4" w:rsidRPr="0002230A" w:rsidRDefault="007B1EE4" w:rsidP="007B1EE4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Opis wymagań</w:t>
      </w:r>
    </w:p>
    <w:p w:rsidR="007B1EE4" w:rsidRPr="0002230A" w:rsidRDefault="007B1EE4" w:rsidP="007B1EE4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Materiał do badań patomorfologicznych: tkankowych, cytologicznych jest zabezpieczony i transportowany zgodnie z wytycznymi Polskiego Towarzystwa Patologów.</w:t>
      </w:r>
    </w:p>
    <w:p w:rsidR="007B1EE4" w:rsidRPr="0002230A" w:rsidRDefault="007B1EE4" w:rsidP="007B1EE4">
      <w:pPr>
        <w:pStyle w:val="Tekstpodstawowy"/>
        <w:spacing w:before="2" w:line="247" w:lineRule="auto"/>
        <w:ind w:left="1275" w:right="704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 xml:space="preserve">Materiał tkankowy jest utrwalany i transportowany w pojemnikach do przechowywania i trans- portu materiału histologicznego spełniających wymagania wyrobu medycznego do diagnostyki </w:t>
      </w:r>
      <w:proofErr w:type="spellStart"/>
      <w:r w:rsidRPr="0002230A">
        <w:rPr>
          <w:rFonts w:ascii="Calibri" w:hAnsi="Calibri" w:cs="Arial"/>
          <w:sz w:val="22"/>
        </w:rPr>
        <w:t>in</w:t>
      </w:r>
      <w:proofErr w:type="spellEnd"/>
      <w:r w:rsidRPr="0002230A">
        <w:rPr>
          <w:rFonts w:ascii="Calibri" w:hAnsi="Calibri" w:cs="Arial"/>
          <w:sz w:val="22"/>
        </w:rPr>
        <w:t xml:space="preserve"> vitro; pojemniki są oznakowane niezmywalnymi etykietami zawierającymi istotne dane dotyczące pacjenta i pobranego materiału, zgodnie z dołączonym skierowaniem.</w:t>
      </w:r>
    </w:p>
    <w:p w:rsidR="007B1EE4" w:rsidRPr="0002230A" w:rsidRDefault="007B1EE4" w:rsidP="007B1EE4">
      <w:pPr>
        <w:pStyle w:val="Tekstpodstawowy"/>
        <w:spacing w:before="3" w:line="247" w:lineRule="auto"/>
        <w:ind w:left="1275" w:right="707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 xml:space="preserve">Materiał cytologiczny należy transportować w specjalnych opakowaniach uniemożliwiających stłuczenie szkiełek czy ich uszkodzenie, zabezpieczających przed utratą materiału tak, aby szkieł- </w:t>
      </w:r>
      <w:proofErr w:type="spellStart"/>
      <w:r w:rsidRPr="0002230A">
        <w:rPr>
          <w:rFonts w:ascii="Calibri" w:hAnsi="Calibri" w:cs="Arial"/>
          <w:sz w:val="22"/>
        </w:rPr>
        <w:t>ka</w:t>
      </w:r>
      <w:proofErr w:type="spellEnd"/>
      <w:r w:rsidRPr="0002230A">
        <w:rPr>
          <w:rFonts w:ascii="Calibri" w:hAnsi="Calibri" w:cs="Arial"/>
          <w:sz w:val="22"/>
        </w:rPr>
        <w:t xml:space="preserve"> nie stykały się ze sobą powierzchnią, na której znajdują się rozmazy; w przypadku rozmazów każde szkiełko należy opisać niezmywalnym markerem umożliwiającym identyfikację pacjenta. Materiał do diagnostyki patomorfologicznej ma monitorowane warunki transportu materiału do badania patomorfologicznego.</w:t>
      </w:r>
    </w:p>
    <w:p w:rsidR="007B1EE4" w:rsidRPr="0002230A" w:rsidRDefault="007B1EE4" w:rsidP="007B1EE4">
      <w:pPr>
        <w:pStyle w:val="Akapitzlist"/>
        <w:numPr>
          <w:ilvl w:val="1"/>
          <w:numId w:val="1"/>
        </w:numPr>
        <w:tabs>
          <w:tab w:val="left" w:pos="1614"/>
        </w:tabs>
        <w:spacing w:line="237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 przypadku materiału tkankowego monitorowaniu podlegają:</w:t>
      </w:r>
    </w:p>
    <w:p w:rsidR="007B1EE4" w:rsidRPr="0002230A" w:rsidRDefault="007B1EE4" w:rsidP="007B1EE4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8" w:line="247" w:lineRule="auto"/>
        <w:ind w:right="702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 xml:space="preserve">pojemniki do przechowywania i transportu materiału histologicznego, przy czym pojemniki te spełniają wymagania wyrobu medycznego do diagnostyki </w:t>
      </w:r>
      <w:proofErr w:type="spellStart"/>
      <w:r w:rsidRPr="0002230A">
        <w:rPr>
          <w:rFonts w:ascii="Calibri" w:hAnsi="Calibri" w:cs="Arial"/>
          <w:szCs w:val="20"/>
        </w:rPr>
        <w:t>in</w:t>
      </w:r>
      <w:proofErr w:type="spellEnd"/>
      <w:r w:rsidRPr="0002230A">
        <w:rPr>
          <w:rFonts w:ascii="Calibri" w:hAnsi="Calibri" w:cs="Arial"/>
          <w:szCs w:val="20"/>
        </w:rPr>
        <w:t xml:space="preserve"> vitro zgodnie z aktualnie obowiązującymi regulacjami prawnymi;</w:t>
      </w:r>
    </w:p>
    <w:p w:rsidR="007B1EE4" w:rsidRPr="0002230A" w:rsidRDefault="007B1EE4" w:rsidP="007B1EE4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2" w:line="247" w:lineRule="auto"/>
        <w:ind w:right="702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sposób oznakowania pojemników; pojemniki są oznakowane niezmywalnymi etykietami zawierającymi dane pozwalające na identyfikację pacjenta i pobranego materiału, zgodnie z załączonym skierowaniem.</w:t>
      </w:r>
    </w:p>
    <w:p w:rsidR="007B1EE4" w:rsidRPr="0002230A" w:rsidRDefault="007B1EE4" w:rsidP="007B1EE4">
      <w:pPr>
        <w:pStyle w:val="Akapitzlist"/>
        <w:numPr>
          <w:ilvl w:val="1"/>
          <w:numId w:val="1"/>
        </w:numPr>
        <w:tabs>
          <w:tab w:val="left" w:pos="1615"/>
        </w:tabs>
        <w:spacing w:before="230" w:line="240" w:lineRule="auto"/>
        <w:ind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 przypadku materiału cytologicznego monitorowaniu podlegają:</w:t>
      </w:r>
    </w:p>
    <w:p w:rsidR="007B1EE4" w:rsidRPr="0002230A" w:rsidRDefault="007B1EE4" w:rsidP="007B1EE4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8" w:line="247" w:lineRule="auto"/>
        <w:ind w:right="706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opakowania do transportu, przy czym opakowania te uni</w:t>
      </w:r>
      <w:r>
        <w:rPr>
          <w:rFonts w:ascii="Calibri" w:hAnsi="Calibri" w:cs="Arial"/>
          <w:szCs w:val="20"/>
        </w:rPr>
        <w:t>emożliwiają stłuczenie i uszko</w:t>
      </w:r>
      <w:r w:rsidRPr="0002230A">
        <w:rPr>
          <w:rFonts w:ascii="Calibri" w:hAnsi="Calibri" w:cs="Arial"/>
          <w:szCs w:val="20"/>
        </w:rPr>
        <w:t>dzenie szkiełek; szkiełka nie powinny stykać się ze sobą powierzchnią, na której znajdują się rozmazy;</w:t>
      </w:r>
    </w:p>
    <w:p w:rsidR="007B1EE4" w:rsidRPr="0002230A" w:rsidRDefault="007B1EE4" w:rsidP="007B1EE4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2" w:line="247" w:lineRule="auto"/>
        <w:ind w:right="707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sposób oznakowania szkiełek; każde szkiełko powinno zostać jednoznacznie oznaczone w sposób umożliwiający identyfikację pacjenta.</w:t>
      </w:r>
    </w:p>
    <w:p w:rsidR="007B1EE4" w:rsidRPr="0002230A" w:rsidRDefault="007B1EE4" w:rsidP="007B1EE4">
      <w:pPr>
        <w:pStyle w:val="Tekstpodstawowy"/>
        <w:spacing w:before="9"/>
        <w:rPr>
          <w:rFonts w:ascii="Calibri" w:hAnsi="Calibri" w:cs="Arial"/>
          <w:sz w:val="22"/>
        </w:rPr>
      </w:pPr>
    </w:p>
    <w:p w:rsidR="007B1EE4" w:rsidRPr="0002230A" w:rsidRDefault="007B1EE4" w:rsidP="007B1EE4">
      <w:pPr>
        <w:pStyle w:val="Tekstpodstawowy"/>
        <w:spacing w:before="1" w:line="247" w:lineRule="auto"/>
        <w:ind w:left="1275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W przypadku transportu materiału niezgodnie z opisanymi wymogami i instrukcjami, fakt ten jest odnotowany w dokumentacji.</w:t>
      </w:r>
    </w:p>
    <w:p w:rsidR="007B1EE4" w:rsidRPr="0002230A" w:rsidRDefault="007B1EE4" w:rsidP="007B1EE4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274" w:hanging="374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Sposób sprawdzenia</w:t>
      </w:r>
    </w:p>
    <w:p w:rsidR="007B1EE4" w:rsidRPr="0002230A" w:rsidRDefault="007B1EE4" w:rsidP="007B1EE4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dokumentacji szpitala;</w:t>
      </w:r>
    </w:p>
    <w:p w:rsidR="007B1EE4" w:rsidRPr="0002230A" w:rsidRDefault="007B1EE4" w:rsidP="007B1EE4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wywiad z personelem;</w:t>
      </w:r>
    </w:p>
    <w:p w:rsidR="007B1EE4" w:rsidRPr="0002230A" w:rsidRDefault="007B1EE4" w:rsidP="007B1EE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obserwacja bezpośrednia.</w:t>
      </w:r>
    </w:p>
    <w:p w:rsidR="007B1EE4" w:rsidRPr="0002230A" w:rsidRDefault="007B1EE4" w:rsidP="007B1EE4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Punktacja</w:t>
      </w:r>
    </w:p>
    <w:p w:rsidR="007B1EE4" w:rsidRPr="0002230A" w:rsidRDefault="007B1EE4" w:rsidP="007B1EE4">
      <w:pPr>
        <w:pStyle w:val="Tekstpodstawowy"/>
        <w:tabs>
          <w:tab w:val="left" w:pos="1615"/>
        </w:tabs>
        <w:spacing w:before="206" w:line="247" w:lineRule="auto"/>
        <w:ind w:left="1615" w:right="704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5</w:t>
      </w:r>
      <w:r w:rsidRPr="0002230A">
        <w:rPr>
          <w:rFonts w:ascii="Calibri" w:hAnsi="Calibri" w:cs="Arial"/>
          <w:sz w:val="22"/>
        </w:rPr>
        <w:tab/>
        <w:t>Materiał do badań jest zabezpieczony i przekazywany do zakładu patomorfologii zgodnie z wymogami standardu.</w:t>
      </w:r>
    </w:p>
    <w:p w:rsidR="007B1EE4" w:rsidRPr="0002230A" w:rsidRDefault="007B1EE4" w:rsidP="007B1EE4">
      <w:pPr>
        <w:pStyle w:val="Tekstpodstawowy"/>
        <w:tabs>
          <w:tab w:val="left" w:pos="1615"/>
        </w:tabs>
        <w:spacing w:line="247" w:lineRule="auto"/>
        <w:ind w:left="1615" w:right="708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1</w:t>
      </w:r>
      <w:r w:rsidRPr="0002230A">
        <w:rPr>
          <w:rFonts w:ascii="Calibri" w:hAnsi="Calibri" w:cs="Arial"/>
          <w:sz w:val="22"/>
        </w:rPr>
        <w:tab/>
        <w:t>Materiał do badań nie jest prawidłowo zabezpieczony lub prawidłowo przekazywany do zakładu patomorfologii.</w:t>
      </w:r>
    </w:p>
    <w:p w:rsidR="00427D73" w:rsidRPr="007B1EE4" w:rsidRDefault="007B1EE4" w:rsidP="007B1EE4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02230A">
        <w:rPr>
          <w:rFonts w:ascii="Calibri" w:hAnsi="Calibri" w:cs="Arial"/>
          <w:b w:val="0"/>
          <w:sz w:val="22"/>
        </w:rPr>
        <w:t>Waga standardu – 1</w:t>
      </w:r>
    </w:p>
    <w:sectPr w:rsidR="00427D73" w:rsidRPr="007B1EE4" w:rsidSect="007B1EE4">
      <w:pgSz w:w="11906" w:h="16838"/>
      <w:pgMar w:top="568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37BE8"/>
    <w:multiLevelType w:val="hybridMultilevel"/>
    <w:tmpl w:val="A93AB39A"/>
    <w:lvl w:ilvl="0" w:tplc="C83640E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8D6BB2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2CE06EC">
      <w:start w:val="1"/>
      <w:numFmt w:val="lowerLetter"/>
      <w:lvlText w:val="%3)"/>
      <w:lvlJc w:val="left"/>
      <w:pPr>
        <w:ind w:left="1956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DDC431F6">
      <w:numFmt w:val="bullet"/>
      <w:lvlText w:val="•"/>
      <w:lvlJc w:val="left"/>
      <w:pPr>
        <w:ind w:left="2955" w:hanging="341"/>
      </w:pPr>
      <w:rPr>
        <w:rFonts w:hint="default"/>
        <w:lang w:val="pl-PL" w:eastAsia="en-US" w:bidi="ar-SA"/>
      </w:rPr>
    </w:lvl>
    <w:lvl w:ilvl="4" w:tplc="141278EE">
      <w:numFmt w:val="bullet"/>
      <w:lvlText w:val="•"/>
      <w:lvlJc w:val="left"/>
      <w:pPr>
        <w:ind w:left="3950" w:hanging="341"/>
      </w:pPr>
      <w:rPr>
        <w:rFonts w:hint="default"/>
        <w:lang w:val="pl-PL" w:eastAsia="en-US" w:bidi="ar-SA"/>
      </w:rPr>
    </w:lvl>
    <w:lvl w:ilvl="5" w:tplc="AE14A046">
      <w:numFmt w:val="bullet"/>
      <w:lvlText w:val="•"/>
      <w:lvlJc w:val="left"/>
      <w:pPr>
        <w:ind w:left="4945" w:hanging="341"/>
      </w:pPr>
      <w:rPr>
        <w:rFonts w:hint="default"/>
        <w:lang w:val="pl-PL" w:eastAsia="en-US" w:bidi="ar-SA"/>
      </w:rPr>
    </w:lvl>
    <w:lvl w:ilvl="6" w:tplc="2848B96E">
      <w:numFmt w:val="bullet"/>
      <w:lvlText w:val="•"/>
      <w:lvlJc w:val="left"/>
      <w:pPr>
        <w:ind w:left="5940" w:hanging="341"/>
      </w:pPr>
      <w:rPr>
        <w:rFonts w:hint="default"/>
        <w:lang w:val="pl-PL" w:eastAsia="en-US" w:bidi="ar-SA"/>
      </w:rPr>
    </w:lvl>
    <w:lvl w:ilvl="7" w:tplc="5330D2E2">
      <w:numFmt w:val="bullet"/>
      <w:lvlText w:val="•"/>
      <w:lvlJc w:val="left"/>
      <w:pPr>
        <w:ind w:left="6935" w:hanging="341"/>
      </w:pPr>
      <w:rPr>
        <w:rFonts w:hint="default"/>
        <w:lang w:val="pl-PL" w:eastAsia="en-US" w:bidi="ar-SA"/>
      </w:rPr>
    </w:lvl>
    <w:lvl w:ilvl="8" w:tplc="D51EA086">
      <w:numFmt w:val="bullet"/>
      <w:lvlText w:val="•"/>
      <w:lvlJc w:val="left"/>
      <w:pPr>
        <w:ind w:left="793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B1EE4"/>
    <w:rsid w:val="000745AD"/>
    <w:rsid w:val="00682510"/>
    <w:rsid w:val="007B1EE4"/>
    <w:rsid w:val="00B70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B1EE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B1EE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B1EE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B1EE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B1EE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B1EE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B1EE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2025-10-27T09:26:00Z</dcterms:created>
  <dcterms:modified xsi:type="dcterms:W3CDTF">2025-10-27T09:27:00Z</dcterms:modified>
</cp:coreProperties>
</file>