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DF7" w:rsidRPr="0020723B" w:rsidRDefault="00105C99" w:rsidP="00EF7DF7">
      <w:pPr>
        <w:spacing w:before="51"/>
        <w:ind w:left="70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14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EF7DF7" w:rsidRDefault="00EF7DF7" w:rsidP="00EF7DF7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EF7DF7" w:rsidRPr="0020723B">
        <w:rPr>
          <w:rFonts w:ascii="Calibri" w:hAnsi="Calibri" w:cs="Arial"/>
          <w:color w:val="072160"/>
          <w:szCs w:val="20"/>
        </w:rPr>
        <w:t>ZAGROŻENIE ŻYCIA</w:t>
      </w:r>
    </w:p>
    <w:p w:rsidR="00EF7DF7" w:rsidRPr="0020723B" w:rsidRDefault="00EF7DF7" w:rsidP="00EF7DF7">
      <w:pPr>
        <w:pStyle w:val="Tekstpodstawowy"/>
        <w:spacing w:before="38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powinien być przygotowany na obsługę pacjentów w ciężkim stanie zdrowia. </w:t>
      </w:r>
      <w:proofErr w:type="spellStart"/>
      <w:r w:rsidRPr="0020723B">
        <w:rPr>
          <w:rFonts w:ascii="Calibri" w:hAnsi="Calibri" w:cs="Arial"/>
          <w:sz w:val="22"/>
        </w:rPr>
        <w:t>Wystandaryzowany</w:t>
      </w:r>
      <w:proofErr w:type="spellEnd"/>
      <w:r w:rsidRPr="0020723B">
        <w:rPr>
          <w:rFonts w:ascii="Calibri" w:hAnsi="Calibri" w:cs="Arial"/>
          <w:sz w:val="22"/>
        </w:rPr>
        <w:t xml:space="preserve"> sposób postępowania obejmuje wczesną identyfikację pacjentów zagrożonych nagłym pogorszeniem stanu zdrowia, a także interwencje prowadzone w stanach nagłego zagrożenia życia, w tym zagrożenia życia z powodu zatrucia. Wymagane są systematyczne, prowadzone co dwa lata szkolenia doskonaląc</w:t>
      </w:r>
      <w:r>
        <w:rPr>
          <w:rFonts w:ascii="Calibri" w:hAnsi="Calibri" w:cs="Arial"/>
          <w:sz w:val="22"/>
        </w:rPr>
        <w:t>e prowadzenie resuscytacji krą</w:t>
      </w:r>
      <w:r w:rsidRPr="0020723B">
        <w:rPr>
          <w:rFonts w:ascii="Calibri" w:hAnsi="Calibri" w:cs="Arial"/>
          <w:sz w:val="22"/>
        </w:rPr>
        <w:t>żeniowo-oddechowej. Należy opracować plan działań na wypadek zdarzenia mnogiego i masowego, oraz na wypadek zdarzenia z zastosowaniem nieznanej substancji z grupy toksycznych substancji przemysłowych lub broni chemicznej, a szpitale znajdujące się na liście jednostek systemu Państwowego Ratownictwa Medyczne- go (PRM) opracowują plan działań także na wypadek katastrofy i terroryzmu. W celu weryfikacji i podtrzymania umiejętności postępowania podczas zdarzeń masowych i katastrof, szpitale umieszczone na liście jednostek wojewódzkiego planu działania systemu PRM przeprowadzają coroczną, ćwiczebną symulację.</w:t>
      </w:r>
    </w:p>
    <w:p w:rsidR="00EF7DF7" w:rsidRPr="0020723B" w:rsidRDefault="00EF7DF7" w:rsidP="00EF7DF7">
      <w:pPr>
        <w:pStyle w:val="Tekstpodstawowy"/>
        <w:spacing w:before="8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organizować cykliczne szkolenia w zakresie rozpoznania i postępowania</w:t>
      </w:r>
      <w:r>
        <w:rPr>
          <w:rFonts w:ascii="Calibri" w:hAnsi="Calibri" w:cs="Arial"/>
          <w:sz w:val="22"/>
        </w:rPr>
        <w:t xml:space="preserve"> w przypadku zatruć, które sta</w:t>
      </w:r>
      <w:r w:rsidRPr="0020723B">
        <w:rPr>
          <w:rFonts w:ascii="Calibri" w:hAnsi="Calibri" w:cs="Arial"/>
          <w:sz w:val="22"/>
        </w:rPr>
        <w:t>nowią zagrożenie życia (alkohole niespożywcze, leki, grzyby, środki ochrony roślin, substancje psychoaktywne, inne). Należy opracować procedury dotyczące konsultacji z regionalnym ośrod</w:t>
      </w:r>
      <w:r>
        <w:rPr>
          <w:rFonts w:ascii="Calibri" w:hAnsi="Calibri" w:cs="Arial"/>
          <w:sz w:val="22"/>
        </w:rPr>
        <w:t>kiem zatruć ostrych oraz zleca</w:t>
      </w:r>
      <w:r w:rsidRPr="0020723B">
        <w:rPr>
          <w:rFonts w:ascii="Calibri" w:hAnsi="Calibri" w:cs="Arial"/>
          <w:sz w:val="22"/>
        </w:rPr>
        <w:t>nia szybkiej diagnostyki toksykologicznej. Procedury powinny zawierać</w:t>
      </w:r>
      <w:r>
        <w:rPr>
          <w:rFonts w:ascii="Calibri" w:hAnsi="Calibri" w:cs="Arial"/>
          <w:sz w:val="22"/>
        </w:rPr>
        <w:t xml:space="preserve"> telefony kontaktowe do lekarza toksy</w:t>
      </w:r>
      <w:r w:rsidRPr="0020723B">
        <w:rPr>
          <w:rFonts w:ascii="Calibri" w:hAnsi="Calibri" w:cs="Arial"/>
          <w:sz w:val="22"/>
        </w:rPr>
        <w:t>kologa w ośrodku ostrych zatruć, do ośrodka informacji toksykologicznej oraz do regionalnego całodobowego laboratorium toksykologicznego.</w:t>
      </w:r>
    </w:p>
    <w:p w:rsidR="00EF7DF7" w:rsidRPr="0020723B" w:rsidRDefault="00EF7DF7" w:rsidP="00EF7DF7">
      <w:pPr>
        <w:pStyle w:val="Tekstpodstawowy"/>
        <w:spacing w:before="158"/>
        <w:rPr>
          <w:rFonts w:ascii="Calibri" w:hAnsi="Calibri" w:cs="Arial"/>
          <w:sz w:val="22"/>
        </w:rPr>
      </w:pPr>
    </w:p>
    <w:p w:rsidR="00EF7DF7" w:rsidRPr="0020723B" w:rsidRDefault="00105C99" w:rsidP="00EF7DF7">
      <w:pPr>
        <w:pStyle w:val="Heading4"/>
        <w:spacing w:line="194" w:lineRule="auto"/>
        <w:ind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615" o:spid="_x0000_s1026" type="#_x0000_t202" style="position:absolute;left:0;text-align:left;margin-left:85.05pt;margin-top:-10.55pt;width:45.4pt;height:63.35pt;z-index:251660288;mso-position-horizontal-relative:page" fillcolor="#bee3eb" stroked="f">
            <v:textbox inset="0,0,0,0">
              <w:txbxContent>
                <w:p w:rsidR="00EF7DF7" w:rsidRDefault="00EF7DF7" w:rsidP="00EF7DF7">
                  <w:pPr>
                    <w:pStyle w:val="Tekstpodstawowy"/>
                    <w:spacing w:before="196"/>
                    <w:rPr>
                      <w:color w:val="000000"/>
                      <w:sz w:val="24"/>
                    </w:rPr>
                  </w:pPr>
                </w:p>
                <w:p w:rsidR="00EF7DF7" w:rsidRDefault="00EF7DF7" w:rsidP="00EF7DF7">
                  <w:pPr>
                    <w:ind w:left="239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EF7DF7" w:rsidRPr="0020723B">
        <w:rPr>
          <w:rFonts w:ascii="Calibri" w:hAnsi="Calibri" w:cs="Arial"/>
          <w:color w:val="072160"/>
          <w:sz w:val="22"/>
          <w:szCs w:val="20"/>
        </w:rPr>
        <w:t>SZPITAL JEST PRZYGOTOWANY NA PRZYJĘCIE PACJENTA W CIĘŻKIM STANIE ZDROWIA</w:t>
      </w:r>
    </w:p>
    <w:p w:rsidR="00EF7DF7" w:rsidRPr="0020723B" w:rsidRDefault="00EF7DF7" w:rsidP="00EF7DF7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EF7DF7" w:rsidRPr="0020723B" w:rsidRDefault="00EF7DF7" w:rsidP="00EF7DF7">
      <w:pPr>
        <w:pStyle w:val="Heading6"/>
        <w:numPr>
          <w:ilvl w:val="0"/>
          <w:numId w:val="1"/>
        </w:numPr>
        <w:tabs>
          <w:tab w:val="left" w:pos="1842"/>
        </w:tabs>
        <w:spacing w:before="389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F7DF7" w:rsidRPr="0020723B" w:rsidRDefault="00EF7DF7" w:rsidP="00EF7DF7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wdrożono zasady postępowania w przypadku uzyskan</w:t>
      </w:r>
      <w:r>
        <w:rPr>
          <w:rFonts w:ascii="Calibri" w:hAnsi="Calibri" w:cs="Arial"/>
          <w:sz w:val="22"/>
        </w:rPr>
        <w:t>ia informacji o transporcie pa</w:t>
      </w:r>
      <w:r w:rsidRPr="0020723B">
        <w:rPr>
          <w:rFonts w:ascii="Calibri" w:hAnsi="Calibri" w:cs="Arial"/>
          <w:sz w:val="22"/>
        </w:rPr>
        <w:t>cjenta w ciężkim stanie zdrowia. Dla sprawnego przyjęcia pacjenta w ciężkim stanie zdrowia szpital opracowuje zasady dotyczące współpracy szpitala i służb ratowniczych, które obejmują co najmniej: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zakresu informacji na temat potencjalnego zagrożenia życia i zdrowia;</w:t>
      </w:r>
    </w:p>
    <w:p w:rsidR="00EF7DF7" w:rsidRPr="00A94CB5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  <w:highlight w:val="yellow"/>
        </w:rPr>
      </w:pPr>
      <w:r w:rsidRPr="00A94CB5">
        <w:rPr>
          <w:rFonts w:ascii="Calibri" w:hAnsi="Calibri" w:cs="Arial"/>
          <w:szCs w:val="20"/>
          <w:highlight w:val="yellow"/>
        </w:rPr>
        <w:t>poinformowanie o przewidywanym czasie dojazdu;</w:t>
      </w:r>
    </w:p>
    <w:p w:rsidR="00EF7DF7" w:rsidRPr="00A94CB5" w:rsidRDefault="00EF7DF7" w:rsidP="00EF7DF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  <w:highlight w:val="yellow"/>
        </w:rPr>
      </w:pPr>
      <w:r w:rsidRPr="00A94CB5">
        <w:rPr>
          <w:rFonts w:ascii="Calibri" w:hAnsi="Calibri" w:cs="Arial"/>
          <w:szCs w:val="20"/>
          <w:highlight w:val="yellow"/>
        </w:rPr>
        <w:t>informację o niezbędnych siłach i środkach koniecznych dla efektywnego postępowania po dotarciu do szpitala;</w:t>
      </w:r>
    </w:p>
    <w:p w:rsidR="00EF7DF7" w:rsidRPr="00A94CB5" w:rsidRDefault="00EF7DF7" w:rsidP="00EF7DF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 w:hanging="340"/>
        <w:rPr>
          <w:rFonts w:ascii="Calibri" w:hAnsi="Calibri" w:cs="Arial"/>
          <w:szCs w:val="20"/>
          <w:highlight w:val="yellow"/>
        </w:rPr>
      </w:pPr>
      <w:r w:rsidRPr="00A94CB5">
        <w:rPr>
          <w:rFonts w:ascii="Calibri" w:hAnsi="Calibri" w:cs="Arial"/>
          <w:szCs w:val="20"/>
          <w:highlight w:val="yellow"/>
        </w:rPr>
        <w:t>prowadzenie wspólnej opieki nad pacjentem w czasie transportu do szpitala w formie, np. transmisji badania EKG; przekazywania informacji o parametrach życiowych, czasie wystąpienia objawów;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wymianę sprzętu ratowniczego;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postępowania w przypadku sporu kompetencyjnego.</w:t>
      </w:r>
    </w:p>
    <w:p w:rsidR="00EF7DF7" w:rsidRPr="0020723B" w:rsidRDefault="00EF7DF7" w:rsidP="00EF7DF7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Przypadki braku współpracy powinny zostać odnotowane w dokumentacji szpitala.</w:t>
      </w:r>
    </w:p>
    <w:p w:rsidR="00EF7DF7" w:rsidRPr="0020723B" w:rsidRDefault="00EF7DF7" w:rsidP="00EF7DF7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EF7DF7" w:rsidRPr="006B29E2" w:rsidRDefault="00EF7DF7" w:rsidP="00EF7DF7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Ocena punktowa</w:t>
      </w:r>
    </w:p>
    <w:p w:rsidR="00EF7DF7" w:rsidRPr="0020723B" w:rsidRDefault="00EF7DF7" w:rsidP="00EF7DF7">
      <w:pPr>
        <w:pStyle w:val="Tekstpodstawowy"/>
        <w:tabs>
          <w:tab w:val="left" w:pos="2182"/>
        </w:tabs>
        <w:spacing w:before="205" w:line="247" w:lineRule="auto"/>
        <w:ind w:left="2182" w:right="134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jest przygotowany na przyjęcie pacjenta w ciężkim stanie zdrowia zgodnie z wymogami standardu.</w:t>
      </w:r>
    </w:p>
    <w:p w:rsidR="00EF7DF7" w:rsidRPr="0020723B" w:rsidRDefault="00EF7DF7" w:rsidP="00EF7DF7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color w:val="072160"/>
          <w:sz w:val="22"/>
        </w:rPr>
        <w:t>2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</w:t>
      </w:r>
      <w:r>
        <w:rPr>
          <w:rFonts w:ascii="Calibri" w:hAnsi="Calibri" w:cs="Arial"/>
          <w:sz w:val="22"/>
        </w:rPr>
        <w:t>ieni milowych jest spełnionych)</w:t>
      </w:r>
    </w:p>
    <w:p w:rsidR="00EF7DF7" w:rsidRPr="006B29E2" w:rsidRDefault="00EF7DF7" w:rsidP="00EF7DF7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jest przygotowany na przyjęcie pacjenta w ciężk</w:t>
      </w:r>
      <w:r>
        <w:rPr>
          <w:rFonts w:ascii="Calibri" w:hAnsi="Calibri" w:cs="Arial"/>
          <w:sz w:val="22"/>
        </w:rPr>
        <w:t>im stanie zdrowia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EF7DF7" w:rsidRPr="006B29E2" w:rsidRDefault="00EF7DF7" w:rsidP="00EF7DF7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  <w:r w:rsidR="00105C99" w:rsidRPr="00105C99">
        <w:rPr>
          <w:szCs w:val="20"/>
        </w:rPr>
        <w:pict>
          <v:rect id="docshape1616" o:spid="_x0000_s1028" style="position:absolute;left:0;text-align:left;margin-left:0;margin-top:283.25pt;width:28.35pt;height:47.95pt;z-index:251662336;mso-position-horizontal-relative:page;mso-position-vertical-relative:page" fillcolor="#072160" stroked="f">
            <w10:wrap anchorx="page" anchory="page"/>
          </v:rect>
        </w:pic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1615"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i wdrożono zasady dotyczące współpracy szpitala i służb ratowniczych dotyczące transportu pacjenta w ciężkim stanie zdrowia (procedura);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uwzględnia zakres informacji na temat potencjalnego zagrożenia życia i zdrowia transportowanego pacjenta, jakie są przekazywane;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uwzględnia poinformowanie o przewidywanym czasie dojazdu;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zawiera informację o niezbędnych siłach i środkach koniecznych dla efektywnego postępowania po dotarciu do szpitala;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uwzględnia prowadzenie wspólnej opieki nad pacjentem w czasie transportu do szpitala w formie, np. transmisji badania EKG; przekazywania informacji o parametrach życiowych, czasie wystąpienia objawów;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32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uwzględnia zasady wymiany sprzętu ratowniczego;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określa postępowanie w przypadku sporu kompetencyjnego;</w:t>
      </w:r>
    </w:p>
    <w:p w:rsidR="00EF7DF7" w:rsidRPr="0020723B" w:rsidRDefault="00EF7DF7" w:rsidP="00EF7DF7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przypadki braku współpracy odnotowywane zostają w dokumentacji szpitala.</w:t>
      </w:r>
    </w:p>
    <w:p w:rsidR="00EF7DF7" w:rsidRPr="0020723B" w:rsidRDefault="00EF7DF7" w:rsidP="00EF7DF7">
      <w:pPr>
        <w:pStyle w:val="Tekstpodstawowy"/>
        <w:spacing w:before="223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EF7DF7" w:rsidRPr="0020723B" w:rsidRDefault="00EF7DF7" w:rsidP="00EF7DF7">
      <w:pPr>
        <w:pStyle w:val="Tekstpodstawowy"/>
        <w:spacing w:before="3"/>
        <w:rPr>
          <w:rFonts w:ascii="Calibri" w:hAnsi="Calibri" w:cs="Arial"/>
          <w:sz w:val="22"/>
        </w:rPr>
      </w:pPr>
    </w:p>
    <w:p w:rsidR="00EF7DF7" w:rsidRPr="0020723B" w:rsidRDefault="00EF7DF7" w:rsidP="00EF7DF7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A94CB5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22F48"/>
    <w:multiLevelType w:val="hybridMultilevel"/>
    <w:tmpl w:val="2F4AB020"/>
    <w:lvl w:ilvl="0" w:tplc="5198BC8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31EFCD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120429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B75CEC4A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8E4A3CC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65F4E0D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3A182C4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82833E0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9CFE37F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F7DF7"/>
    <w:rsid w:val="000745AD"/>
    <w:rsid w:val="00105C99"/>
    <w:rsid w:val="003C5944"/>
    <w:rsid w:val="00682510"/>
    <w:rsid w:val="00A94CB5"/>
    <w:rsid w:val="00EF7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F7DF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F7DF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F7DF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F7DF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F7DF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F7DF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F7DF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3</cp:revision>
  <dcterms:created xsi:type="dcterms:W3CDTF">2025-07-07T10:32:00Z</dcterms:created>
  <dcterms:modified xsi:type="dcterms:W3CDTF">2025-07-07T10:43:00Z</dcterms:modified>
</cp:coreProperties>
</file>