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C53" w:rsidRPr="0020723B" w:rsidRDefault="00C46C53" w:rsidP="00C46C53">
      <w:pPr>
        <w:pStyle w:val="Tekstpodstawowy"/>
        <w:spacing w:before="194"/>
        <w:rPr>
          <w:rFonts w:ascii="Calibri" w:hAnsi="Calibri" w:cs="Arial"/>
          <w:sz w:val="22"/>
        </w:rPr>
      </w:pPr>
    </w:p>
    <w:p w:rsidR="00C46C53" w:rsidRPr="0020723B" w:rsidRDefault="0096219A" w:rsidP="00C46C53">
      <w:pPr>
        <w:pStyle w:val="Heading4"/>
        <w:spacing w:before="1" w:line="194" w:lineRule="auto"/>
        <w:ind w:left="1275"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17" o:spid="_x0000_s1026" type="#_x0000_t202" style="position:absolute;left:0;text-align:left;margin-left:56.7pt;margin-top:-7.85pt;width:45.4pt;height:58.05pt;z-index:251660288;mso-position-horizontal-relative:page" fillcolor="#bee3eb" stroked="f">
            <v:textbox inset="0,0,0,0">
              <w:txbxContent>
                <w:p w:rsidR="00C46C53" w:rsidRDefault="00C46C53" w:rsidP="00C46C53">
                  <w:pPr>
                    <w:pStyle w:val="Tekstpodstawowy"/>
                    <w:spacing w:before="143"/>
                    <w:rPr>
                      <w:color w:val="000000"/>
                      <w:sz w:val="24"/>
                    </w:rPr>
                  </w:pPr>
                </w:p>
                <w:p w:rsidR="00C46C53" w:rsidRDefault="00C46C53" w:rsidP="00C46C53">
                  <w:pPr>
                    <w:ind w:left="216"/>
                    <w:rPr>
                      <w:rFonts w:ascii="Arial Black" w:hAnsi="Arial Black"/>
                      <w:color w:val="000000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80"/>
                      <w:sz w:val="24"/>
                    </w:rPr>
                    <w:t>ZŻ</w:t>
                  </w:r>
                  <w:r>
                    <w:rPr>
                      <w:rFonts w:ascii="Arial Black" w:hAns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10"/>
                      <w:w w:val="95"/>
                      <w:sz w:val="24"/>
                    </w:rPr>
                    <w:t>2</w:t>
                  </w:r>
                </w:p>
              </w:txbxContent>
            </v:textbox>
            <w10:wrap anchorx="page"/>
          </v:shape>
        </w:pict>
      </w:r>
      <w:r w:rsidR="00C46C53" w:rsidRPr="0020723B">
        <w:rPr>
          <w:rFonts w:ascii="Calibri" w:hAnsi="Calibri" w:cs="Arial"/>
          <w:color w:val="072160"/>
          <w:sz w:val="22"/>
          <w:szCs w:val="20"/>
        </w:rPr>
        <w:t>WDROŻONO STANDARDOWE PROCEDURY POSTĘPOWANIA Z PACJENTAMI</w:t>
      </w:r>
    </w:p>
    <w:p w:rsidR="00C46C53" w:rsidRPr="0020723B" w:rsidRDefault="00C46C53" w:rsidP="00C46C53">
      <w:pPr>
        <w:pStyle w:val="Heading4"/>
        <w:spacing w:line="337" w:lineRule="exact"/>
        <w:ind w:left="127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W CIĘŻKIM STANIE ZDROWIA.</w:t>
      </w:r>
    </w:p>
    <w:p w:rsidR="00C46C53" w:rsidRDefault="00C46C53" w:rsidP="00C46C53">
      <w:pPr>
        <w:pStyle w:val="Tekstpodstawowy"/>
        <w:spacing w:before="46"/>
        <w:rPr>
          <w:rFonts w:ascii="Calibri" w:hAnsi="Calibri" w:cs="Arial"/>
          <w:sz w:val="22"/>
        </w:rPr>
      </w:pPr>
    </w:p>
    <w:p w:rsidR="00C46C53" w:rsidRPr="0020723B" w:rsidRDefault="00C46C53" w:rsidP="00C46C53">
      <w:pPr>
        <w:pStyle w:val="Tekstpodstawowy"/>
        <w:spacing w:before="46"/>
        <w:rPr>
          <w:rFonts w:ascii="Calibri" w:hAnsi="Calibri" w:cs="Arial"/>
          <w:sz w:val="22"/>
        </w:rPr>
      </w:pPr>
    </w:p>
    <w:p w:rsidR="00C46C53" w:rsidRPr="0020723B" w:rsidRDefault="00C46C53" w:rsidP="00C46C53">
      <w:pPr>
        <w:pStyle w:val="Heading6"/>
        <w:numPr>
          <w:ilvl w:val="0"/>
          <w:numId w:val="3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C46C53" w:rsidRPr="0020723B" w:rsidRDefault="00C46C53" w:rsidP="00C46C53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Pacjenci przyjmowani lub hospitalizowani w ciężkim stanie zdrowia lub stanie nagłego zagrożenia życia powinni zostać objęci </w:t>
      </w:r>
      <w:proofErr w:type="spellStart"/>
      <w:r w:rsidRPr="0020723B">
        <w:rPr>
          <w:rFonts w:ascii="Calibri" w:hAnsi="Calibri" w:cs="Arial"/>
          <w:sz w:val="22"/>
        </w:rPr>
        <w:t>wystandaryzowaną</w:t>
      </w:r>
      <w:proofErr w:type="spellEnd"/>
      <w:r w:rsidRPr="0020723B">
        <w:rPr>
          <w:rFonts w:ascii="Calibri" w:hAnsi="Calibri" w:cs="Arial"/>
          <w:sz w:val="22"/>
        </w:rPr>
        <w:t xml:space="preserve"> opieką. Standardowe Procedury Postępowania (SOP: ang. Standard </w:t>
      </w:r>
      <w:proofErr w:type="spellStart"/>
      <w:r w:rsidRPr="0020723B">
        <w:rPr>
          <w:rFonts w:ascii="Calibri" w:hAnsi="Calibri" w:cs="Arial"/>
          <w:sz w:val="22"/>
        </w:rPr>
        <w:t>Operating</w:t>
      </w:r>
      <w:proofErr w:type="spellEnd"/>
      <w:r w:rsidRPr="0020723B">
        <w:rPr>
          <w:rFonts w:ascii="Calibri" w:hAnsi="Calibri" w:cs="Arial"/>
          <w:sz w:val="22"/>
        </w:rPr>
        <w:t xml:space="preserve"> </w:t>
      </w:r>
      <w:proofErr w:type="spellStart"/>
      <w:r w:rsidRPr="0020723B">
        <w:rPr>
          <w:rFonts w:ascii="Calibri" w:hAnsi="Calibri" w:cs="Arial"/>
          <w:sz w:val="22"/>
        </w:rPr>
        <w:t>Procedures</w:t>
      </w:r>
      <w:proofErr w:type="spellEnd"/>
      <w:r w:rsidRPr="0020723B">
        <w:rPr>
          <w:rFonts w:ascii="Calibri" w:hAnsi="Calibri" w:cs="Arial"/>
          <w:sz w:val="22"/>
        </w:rPr>
        <w:t xml:space="preserve">) wskazują sposób </w:t>
      </w:r>
      <w:r>
        <w:rPr>
          <w:rFonts w:ascii="Calibri" w:hAnsi="Calibri" w:cs="Arial"/>
          <w:sz w:val="22"/>
        </w:rPr>
        <w:t>niezwłocznego wdrożenia diagno</w:t>
      </w:r>
      <w:r w:rsidRPr="0020723B">
        <w:rPr>
          <w:rFonts w:ascii="Calibri" w:hAnsi="Calibri" w:cs="Arial"/>
          <w:sz w:val="22"/>
        </w:rPr>
        <w:t>styki i leczenia, zgodnego z aktualną wiedzą medyczną, co korzystnie wpływa na wynik opieki. Szpitale wielospecjalistyczne powinny określić i wdrożyć Standardowe Procedury Postępowania dotyczące co najmniej:</w:t>
      </w:r>
    </w:p>
    <w:p w:rsidR="00C46C53" w:rsidRPr="002F13EE" w:rsidRDefault="00C46C53" w:rsidP="00C46C53">
      <w:pPr>
        <w:pStyle w:val="Akapitzlist"/>
        <w:numPr>
          <w:ilvl w:val="1"/>
          <w:numId w:val="3"/>
        </w:numPr>
        <w:tabs>
          <w:tab w:val="left" w:pos="1614"/>
        </w:tabs>
        <w:spacing w:line="235" w:lineRule="exact"/>
        <w:ind w:left="1614" w:hanging="343"/>
        <w:rPr>
          <w:rFonts w:ascii="Calibri" w:hAnsi="Calibri" w:cs="Arial"/>
          <w:szCs w:val="20"/>
          <w:highlight w:val="yellow"/>
        </w:rPr>
      </w:pPr>
      <w:r w:rsidRPr="002F13EE">
        <w:rPr>
          <w:rFonts w:ascii="Calibri" w:hAnsi="Calibri" w:cs="Arial"/>
          <w:szCs w:val="20"/>
          <w:highlight w:val="yellow"/>
        </w:rPr>
        <w:t>ostrego zespołu wieńcowego;</w:t>
      </w:r>
    </w:p>
    <w:p w:rsidR="00C46C53" w:rsidRPr="002F13EE" w:rsidRDefault="00C46C53" w:rsidP="00C46C53">
      <w:pPr>
        <w:pStyle w:val="Akapitzlist"/>
        <w:numPr>
          <w:ilvl w:val="1"/>
          <w:numId w:val="3"/>
        </w:numPr>
        <w:tabs>
          <w:tab w:val="left" w:pos="1614"/>
        </w:tabs>
        <w:ind w:left="1614" w:hanging="343"/>
        <w:rPr>
          <w:rFonts w:ascii="Calibri" w:hAnsi="Calibri" w:cs="Arial"/>
          <w:szCs w:val="20"/>
          <w:highlight w:val="yellow"/>
        </w:rPr>
      </w:pPr>
      <w:r w:rsidRPr="002F13EE">
        <w:rPr>
          <w:rFonts w:ascii="Calibri" w:hAnsi="Calibri" w:cs="Arial"/>
          <w:szCs w:val="20"/>
          <w:highlight w:val="yellow"/>
        </w:rPr>
        <w:t>udaru mózgu;</w:t>
      </w:r>
    </w:p>
    <w:p w:rsidR="00C46C53" w:rsidRPr="002F13EE" w:rsidRDefault="00C46C53" w:rsidP="00C46C53">
      <w:pPr>
        <w:pStyle w:val="Akapitzlist"/>
        <w:numPr>
          <w:ilvl w:val="1"/>
          <w:numId w:val="3"/>
        </w:numPr>
        <w:tabs>
          <w:tab w:val="left" w:pos="1614"/>
        </w:tabs>
        <w:ind w:left="1614" w:hanging="343"/>
        <w:rPr>
          <w:rFonts w:ascii="Calibri" w:hAnsi="Calibri" w:cs="Arial"/>
          <w:szCs w:val="20"/>
          <w:highlight w:val="yellow"/>
        </w:rPr>
      </w:pPr>
      <w:r w:rsidRPr="002F13EE">
        <w:rPr>
          <w:rFonts w:ascii="Calibri" w:hAnsi="Calibri" w:cs="Arial"/>
          <w:szCs w:val="20"/>
          <w:highlight w:val="yellow"/>
        </w:rPr>
        <w:t>wstrząsu, ze szczególnym uwzględnieniem wstrząsu septycznego;</w:t>
      </w:r>
    </w:p>
    <w:p w:rsidR="00C46C53" w:rsidRPr="002F13EE" w:rsidRDefault="00C46C53" w:rsidP="00C46C53">
      <w:pPr>
        <w:pStyle w:val="Akapitzlist"/>
        <w:numPr>
          <w:ilvl w:val="1"/>
          <w:numId w:val="3"/>
        </w:numPr>
        <w:tabs>
          <w:tab w:val="left" w:pos="1614"/>
        </w:tabs>
        <w:ind w:left="1614" w:hanging="343"/>
        <w:rPr>
          <w:rFonts w:ascii="Calibri" w:hAnsi="Calibri" w:cs="Arial"/>
          <w:szCs w:val="20"/>
          <w:highlight w:val="yellow"/>
        </w:rPr>
      </w:pPr>
      <w:r w:rsidRPr="002F13EE">
        <w:rPr>
          <w:rFonts w:ascii="Calibri" w:hAnsi="Calibri" w:cs="Arial"/>
          <w:szCs w:val="20"/>
          <w:highlight w:val="yellow"/>
        </w:rPr>
        <w:t>obrażeń wielonarządowych;</w:t>
      </w:r>
    </w:p>
    <w:p w:rsidR="00C46C53" w:rsidRPr="0020723B" w:rsidRDefault="00C46C53" w:rsidP="00C46C53">
      <w:pPr>
        <w:pStyle w:val="Akapitzlist"/>
        <w:numPr>
          <w:ilvl w:val="1"/>
          <w:numId w:val="3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hipotermii;</w:t>
      </w:r>
    </w:p>
    <w:p w:rsidR="00C46C53" w:rsidRPr="002F13EE" w:rsidRDefault="00C46C53" w:rsidP="00C46C53">
      <w:pPr>
        <w:pStyle w:val="Akapitzlist"/>
        <w:numPr>
          <w:ilvl w:val="1"/>
          <w:numId w:val="3"/>
        </w:numPr>
        <w:tabs>
          <w:tab w:val="left" w:pos="1614"/>
        </w:tabs>
        <w:ind w:left="1614" w:hanging="343"/>
        <w:rPr>
          <w:rFonts w:ascii="Calibri" w:hAnsi="Calibri" w:cs="Arial"/>
          <w:szCs w:val="20"/>
          <w:highlight w:val="yellow"/>
        </w:rPr>
      </w:pPr>
      <w:r w:rsidRPr="002F13EE">
        <w:rPr>
          <w:rFonts w:ascii="Calibri" w:hAnsi="Calibri" w:cs="Arial"/>
          <w:szCs w:val="20"/>
          <w:highlight w:val="yellow"/>
        </w:rPr>
        <w:t>ostrego zatrucia;</w:t>
      </w:r>
    </w:p>
    <w:p w:rsidR="00C46C53" w:rsidRPr="002F13EE" w:rsidRDefault="00C46C53" w:rsidP="00C46C53">
      <w:pPr>
        <w:pStyle w:val="Akapitzlist"/>
        <w:numPr>
          <w:ilvl w:val="1"/>
          <w:numId w:val="3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  <w:highlight w:val="yellow"/>
        </w:rPr>
      </w:pPr>
      <w:r w:rsidRPr="002F13EE">
        <w:rPr>
          <w:rFonts w:ascii="Calibri" w:hAnsi="Calibri" w:cs="Arial"/>
          <w:szCs w:val="20"/>
          <w:highlight w:val="yellow"/>
        </w:rPr>
        <w:t>powikłań poprzetoczeniowych.</w:t>
      </w:r>
    </w:p>
    <w:p w:rsidR="00C46C53" w:rsidRPr="0020723B" w:rsidRDefault="00C46C53" w:rsidP="00C46C53">
      <w:pPr>
        <w:pStyle w:val="Tekstpodstawowy"/>
        <w:spacing w:before="16"/>
        <w:rPr>
          <w:rFonts w:ascii="Calibri" w:hAnsi="Calibri" w:cs="Arial"/>
          <w:sz w:val="22"/>
        </w:rPr>
      </w:pPr>
    </w:p>
    <w:p w:rsidR="00C46C53" w:rsidRPr="0020723B" w:rsidRDefault="00C46C53" w:rsidP="00C46C53">
      <w:pPr>
        <w:pStyle w:val="Tekstpodstawowy"/>
        <w:spacing w:line="247" w:lineRule="auto"/>
        <w:ind w:left="1275" w:right="70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Szpitale </w:t>
      </w:r>
      <w:proofErr w:type="spellStart"/>
      <w:r w:rsidRPr="0020723B">
        <w:rPr>
          <w:rFonts w:ascii="Calibri" w:hAnsi="Calibri" w:cs="Arial"/>
          <w:sz w:val="22"/>
        </w:rPr>
        <w:t>monoprofilowe</w:t>
      </w:r>
      <w:proofErr w:type="spellEnd"/>
      <w:r w:rsidRPr="0020723B">
        <w:rPr>
          <w:rFonts w:ascii="Calibri" w:hAnsi="Calibri" w:cs="Arial"/>
          <w:sz w:val="22"/>
        </w:rPr>
        <w:t xml:space="preserve"> (np.: ginekologiczno-położnicze, reumatologiczne, onkologiczne) powinny opracować i stosować Standardowe Procedury Postępowania dotyczące opieki nad pacjentami w ciężkim stanie zdrowia lub w stanie nagłego zagrożenia życia odpowiednio dla swojej specyfiki. Bez względu na rodzaj szpitala, w oddziałach powinny funkcjonować Standardowe Procedury Postępowania dla:</w:t>
      </w:r>
    </w:p>
    <w:p w:rsidR="00C46C53" w:rsidRPr="0020723B" w:rsidRDefault="00C46C53" w:rsidP="00C46C53">
      <w:pPr>
        <w:pStyle w:val="Akapitzlist"/>
        <w:numPr>
          <w:ilvl w:val="0"/>
          <w:numId w:val="2"/>
        </w:numPr>
        <w:tabs>
          <w:tab w:val="left" w:pos="1614"/>
        </w:tabs>
        <w:spacing w:line="234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ostrego zespołu wieńcowego;</w:t>
      </w:r>
    </w:p>
    <w:p w:rsidR="00C46C53" w:rsidRPr="0020723B" w:rsidRDefault="00C46C53" w:rsidP="00C46C53">
      <w:pPr>
        <w:pStyle w:val="Akapitzlist"/>
        <w:numPr>
          <w:ilvl w:val="0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udaru;</w:t>
      </w:r>
    </w:p>
    <w:p w:rsidR="00C46C53" w:rsidRPr="0020723B" w:rsidRDefault="00C46C53" w:rsidP="00C46C53">
      <w:pPr>
        <w:pStyle w:val="Akapitzlist"/>
        <w:numPr>
          <w:ilvl w:val="0"/>
          <w:numId w:val="2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wstrząsu, ze szczególnym uwzględnieniem wstrząsu septycznego.</w:t>
      </w:r>
    </w:p>
    <w:p w:rsidR="00C46C53" w:rsidRPr="0020723B" w:rsidRDefault="00C46C53" w:rsidP="00C46C53">
      <w:pPr>
        <w:pStyle w:val="Tekstpodstawowy"/>
        <w:spacing w:before="8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Standardowa Procedura Postępowania powinna uwzględniać postępowanie oparte o:</w:t>
      </w:r>
    </w:p>
    <w:p w:rsidR="00C46C53" w:rsidRPr="0020723B" w:rsidRDefault="00C46C53" w:rsidP="00C46C53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aktualną wiedzę medyczną;</w:t>
      </w:r>
    </w:p>
    <w:p w:rsidR="00C46C53" w:rsidRPr="0020723B" w:rsidRDefault="00C46C53" w:rsidP="00C46C53">
      <w:pPr>
        <w:pStyle w:val="Akapitzlist"/>
        <w:numPr>
          <w:ilvl w:val="0"/>
          <w:numId w:val="1"/>
        </w:numPr>
        <w:tabs>
          <w:tab w:val="left" w:pos="1615"/>
        </w:tabs>
        <w:spacing w:line="247" w:lineRule="auto"/>
        <w:ind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możliwości realizacji w warunkach lokalowych szpitala, z u</w:t>
      </w:r>
      <w:r>
        <w:rPr>
          <w:rFonts w:ascii="Calibri" w:hAnsi="Calibri" w:cs="Arial"/>
          <w:szCs w:val="20"/>
        </w:rPr>
        <w:t>względnieniem struktury zatrud</w:t>
      </w:r>
      <w:r w:rsidRPr="0020723B">
        <w:rPr>
          <w:rFonts w:ascii="Calibri" w:hAnsi="Calibri" w:cs="Arial"/>
          <w:szCs w:val="20"/>
        </w:rPr>
        <w:t>nienia i dostępnych możliwości diagnostycznych i terapeutycznych.</w:t>
      </w:r>
    </w:p>
    <w:p w:rsidR="00C46C53" w:rsidRPr="0020723B" w:rsidRDefault="00C46C53" w:rsidP="00C46C53">
      <w:pPr>
        <w:pStyle w:val="Tekstpodstawowy"/>
        <w:spacing w:before="6"/>
        <w:rPr>
          <w:rFonts w:ascii="Calibri" w:hAnsi="Calibri" w:cs="Arial"/>
          <w:sz w:val="22"/>
        </w:rPr>
      </w:pPr>
    </w:p>
    <w:p w:rsidR="00C46C53" w:rsidRPr="0020723B" w:rsidRDefault="00C46C53" w:rsidP="00C46C53">
      <w:pPr>
        <w:pStyle w:val="Tekstpodstawowy"/>
        <w:spacing w:before="1" w:line="247" w:lineRule="auto"/>
        <w:ind w:left="1275" w:right="70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szpitalnym oddziale ratunkowym lub izbie przyjęć, reko</w:t>
      </w:r>
      <w:r>
        <w:rPr>
          <w:rFonts w:ascii="Calibri" w:hAnsi="Calibri" w:cs="Arial"/>
          <w:sz w:val="22"/>
        </w:rPr>
        <w:t>menduje się wykorzystywanie al</w:t>
      </w:r>
      <w:r w:rsidRPr="0020723B">
        <w:rPr>
          <w:rFonts w:ascii="Calibri" w:hAnsi="Calibri" w:cs="Arial"/>
          <w:sz w:val="22"/>
        </w:rPr>
        <w:t>gorytmów postępowania oraz mierników dla wybranych jednostek chorobowych, dla których</w:t>
      </w:r>
      <w:r w:rsidR="0096219A">
        <w:rPr>
          <w:rFonts w:ascii="Calibri" w:hAnsi="Calibri" w:cs="Arial"/>
          <w:sz w:val="22"/>
        </w:rPr>
        <w:pict>
          <v:shape id="docshape1618" o:spid="_x0000_s1027" type="#_x0000_t202" style="position:absolute;left:0;text-align:left;margin-left:568.95pt;margin-top:282.2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C46C53" w:rsidRDefault="00C46C53" w:rsidP="00C46C53">
                  <w:pPr>
                    <w:tabs>
                      <w:tab w:val="left" w:pos="300"/>
                      <w:tab w:val="left" w:pos="978"/>
                    </w:tabs>
                    <w:spacing w:before="4"/>
                    <w:ind w:left="20"/>
                    <w:rPr>
                      <w:rFonts w:ascii="Arial Black" w:hAnsi="Arial Black"/>
                      <w:sz w:val="32"/>
                    </w:rPr>
                  </w:pPr>
                  <w:r>
                    <w:rPr>
                      <w:rFonts w:ascii="Times New Roman" w:hAnsi="Times New Roman"/>
                      <w:color w:val="FFFFFF"/>
                      <w:sz w:val="32"/>
                      <w:shd w:val="clear" w:color="auto" w:fill="072160"/>
                    </w:rPr>
                    <w:tab/>
                  </w:r>
                  <w:r>
                    <w:rPr>
                      <w:rFonts w:ascii="Arial Black" w:hAnsi="Arial Black"/>
                      <w:color w:val="FFFFFF"/>
                      <w:spacing w:val="-5"/>
                      <w:w w:val="90"/>
                      <w:sz w:val="32"/>
                      <w:shd w:val="clear" w:color="auto" w:fill="072160"/>
                    </w:rPr>
                    <w:t>ZŻ</w:t>
                  </w:r>
                  <w:r>
                    <w:rPr>
                      <w:rFonts w:ascii="Arial Black" w:hAns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rPr>
          <w:rFonts w:ascii="Calibri" w:hAnsi="Calibri" w:cs="Arial"/>
          <w:sz w:val="22"/>
        </w:rPr>
        <w:t xml:space="preserve"> </w:t>
      </w:r>
      <w:r w:rsidRPr="0020723B">
        <w:rPr>
          <w:rFonts w:ascii="Calibri" w:hAnsi="Calibri" w:cs="Arial"/>
          <w:sz w:val="22"/>
        </w:rPr>
        <w:t>wprowadzenie tzw. „szybkiej ścieżki” postępowania ma istotne znaczenie terapeutyczne np. w zawale serca lub udarze mózgu.</w:t>
      </w:r>
    </w:p>
    <w:p w:rsidR="00C46C53" w:rsidRPr="0020723B" w:rsidRDefault="00C46C53" w:rsidP="00C46C53">
      <w:pPr>
        <w:pStyle w:val="Heading6"/>
        <w:numPr>
          <w:ilvl w:val="0"/>
          <w:numId w:val="3"/>
        </w:numPr>
        <w:tabs>
          <w:tab w:val="left" w:pos="1841"/>
        </w:tabs>
        <w:spacing w:before="166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C46C53" w:rsidRPr="0020723B" w:rsidRDefault="00C46C53" w:rsidP="00C46C53">
      <w:pPr>
        <w:pStyle w:val="Akapitzlist"/>
        <w:numPr>
          <w:ilvl w:val="1"/>
          <w:numId w:val="3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C46C53" w:rsidRPr="0020723B" w:rsidRDefault="00C46C53" w:rsidP="00C46C53">
      <w:pPr>
        <w:pStyle w:val="Akapitzlist"/>
        <w:numPr>
          <w:ilvl w:val="1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C46C53" w:rsidRPr="0020723B" w:rsidRDefault="00C46C53" w:rsidP="00C46C53">
      <w:pPr>
        <w:pStyle w:val="Akapitzlist"/>
        <w:numPr>
          <w:ilvl w:val="1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C46C53" w:rsidRPr="0020723B" w:rsidRDefault="00C46C53" w:rsidP="00C46C53">
      <w:pPr>
        <w:pStyle w:val="Akapitzlist"/>
        <w:numPr>
          <w:ilvl w:val="1"/>
          <w:numId w:val="3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C46C53" w:rsidRPr="0020723B" w:rsidRDefault="00C46C53" w:rsidP="00C46C53">
      <w:pPr>
        <w:pStyle w:val="Heading6"/>
        <w:numPr>
          <w:ilvl w:val="0"/>
          <w:numId w:val="3"/>
        </w:numPr>
        <w:tabs>
          <w:tab w:val="left" w:pos="1841"/>
        </w:tabs>
        <w:spacing w:before="172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C46C53" w:rsidRPr="0020723B" w:rsidRDefault="00C46C53" w:rsidP="00C46C53">
      <w:pPr>
        <w:pStyle w:val="Tekstpodstawowy"/>
        <w:tabs>
          <w:tab w:val="left" w:pos="2182"/>
        </w:tabs>
        <w:spacing w:before="205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lastRenderedPageBreak/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Wdrożono Standardowe Procedury Postępowania z pacjentami w ciężkim stanie zdrowia lub stanie nagłego zagrożenia życia zgodnie z wymogami standardu.</w:t>
      </w:r>
    </w:p>
    <w:p w:rsidR="00C46C53" w:rsidRPr="0020723B" w:rsidRDefault="00C46C53" w:rsidP="00C46C53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C46C53" w:rsidRPr="0020723B" w:rsidRDefault="00C46C53" w:rsidP="00C46C53">
      <w:pPr>
        <w:pStyle w:val="Tekstpodstawowy"/>
        <w:tabs>
          <w:tab w:val="left" w:pos="2182"/>
        </w:tabs>
        <w:spacing w:line="247" w:lineRule="auto"/>
        <w:ind w:left="2182" w:right="138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Nie wdrożono Standardowych Procedur Postępowania z pacjentami w ciężkim stanie zdrowia lub stanie nagłego zagrożenia życia zgodnie z wymogami standardu.</w:t>
      </w:r>
    </w:p>
    <w:p w:rsidR="00C46C53" w:rsidRPr="0020723B" w:rsidRDefault="00C46C53" w:rsidP="00C46C53">
      <w:pPr>
        <w:pStyle w:val="Heading6"/>
        <w:numPr>
          <w:ilvl w:val="0"/>
          <w:numId w:val="3"/>
        </w:numPr>
        <w:tabs>
          <w:tab w:val="left" w:pos="1842"/>
        </w:tabs>
        <w:spacing w:before="143"/>
        <w:ind w:left="1842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C46C53" w:rsidRPr="0020723B" w:rsidRDefault="00C46C53" w:rsidP="00C46C53">
      <w:pPr>
        <w:pStyle w:val="Akapitzlist"/>
        <w:numPr>
          <w:ilvl w:val="1"/>
          <w:numId w:val="3"/>
        </w:numPr>
        <w:tabs>
          <w:tab w:val="left" w:pos="2182"/>
        </w:tabs>
        <w:spacing w:before="206" w:line="247" w:lineRule="auto"/>
        <w:ind w:left="2182" w:right="14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Standardowe Procedury Postępowania dotyczące ostreg</w:t>
      </w:r>
      <w:r>
        <w:rPr>
          <w:rFonts w:ascii="Calibri" w:hAnsi="Calibri" w:cs="Arial"/>
          <w:szCs w:val="20"/>
        </w:rPr>
        <w:t>o zespołu wieńcowego są opraco</w:t>
      </w:r>
      <w:r w:rsidRPr="0020723B">
        <w:rPr>
          <w:rFonts w:ascii="Calibri" w:hAnsi="Calibri" w:cs="Arial"/>
          <w:szCs w:val="20"/>
        </w:rPr>
        <w:t>wane i wdrożone;</w:t>
      </w:r>
    </w:p>
    <w:p w:rsidR="00C46C53" w:rsidRPr="0020723B" w:rsidRDefault="00C46C53" w:rsidP="00C46C53">
      <w:pPr>
        <w:pStyle w:val="Akapitzlist"/>
        <w:numPr>
          <w:ilvl w:val="1"/>
          <w:numId w:val="3"/>
        </w:numPr>
        <w:tabs>
          <w:tab w:val="left" w:pos="2181"/>
        </w:tabs>
        <w:spacing w:line="231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Standardowe Procedury Postępowania dotyczące udaru mózgu są opracowane i wdrożone;</w:t>
      </w:r>
    </w:p>
    <w:p w:rsidR="00C46C53" w:rsidRPr="0020723B" w:rsidRDefault="00C46C53" w:rsidP="00C46C53">
      <w:pPr>
        <w:pStyle w:val="Akapitzlist"/>
        <w:numPr>
          <w:ilvl w:val="1"/>
          <w:numId w:val="3"/>
        </w:numPr>
        <w:tabs>
          <w:tab w:val="left" w:pos="2182"/>
        </w:tabs>
        <w:spacing w:line="247" w:lineRule="auto"/>
        <w:ind w:left="2182"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Standardowe Procedury Postępowania dotyczące wstrząsu, ze szczególnym uwzględnieniem wstrząsu septycznego są opracowane i wdrożone;</w:t>
      </w:r>
    </w:p>
    <w:p w:rsidR="00C46C53" w:rsidRPr="0020723B" w:rsidRDefault="00C46C53" w:rsidP="00C46C53">
      <w:pPr>
        <w:pStyle w:val="Akapitzlist"/>
        <w:numPr>
          <w:ilvl w:val="1"/>
          <w:numId w:val="3"/>
        </w:numPr>
        <w:tabs>
          <w:tab w:val="left" w:pos="2182"/>
        </w:tabs>
        <w:spacing w:line="231" w:lineRule="exact"/>
        <w:ind w:left="2182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Standardowe Procedury Postępowania dotyczące hipotermii są opracowane i wdrożone*;</w:t>
      </w:r>
    </w:p>
    <w:p w:rsidR="00C46C53" w:rsidRPr="0020723B" w:rsidRDefault="00C46C53" w:rsidP="00C46C53">
      <w:pPr>
        <w:pStyle w:val="Akapitzlist"/>
        <w:numPr>
          <w:ilvl w:val="1"/>
          <w:numId w:val="3"/>
        </w:numPr>
        <w:tabs>
          <w:tab w:val="left" w:pos="2182"/>
        </w:tabs>
        <w:ind w:left="2182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Standardowe Procedury Postępowania dotyczące ostrego zatrucia są opracowane i wdrożone*;</w:t>
      </w:r>
    </w:p>
    <w:p w:rsidR="00C46C53" w:rsidRPr="0020723B" w:rsidRDefault="00C46C53" w:rsidP="00C46C53">
      <w:pPr>
        <w:pStyle w:val="Akapitzlist"/>
        <w:numPr>
          <w:ilvl w:val="1"/>
          <w:numId w:val="3"/>
        </w:numPr>
        <w:tabs>
          <w:tab w:val="left" w:pos="2182"/>
        </w:tabs>
        <w:spacing w:line="247" w:lineRule="auto"/>
        <w:ind w:left="2182" w:right="14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Standardowe Procedury Postępowania dotyczące powikła</w:t>
      </w:r>
      <w:r>
        <w:rPr>
          <w:rFonts w:ascii="Calibri" w:hAnsi="Calibri" w:cs="Arial"/>
          <w:szCs w:val="20"/>
        </w:rPr>
        <w:t>ń poprzetoczeniowych są opraco</w:t>
      </w:r>
      <w:r w:rsidRPr="0020723B">
        <w:rPr>
          <w:rFonts w:ascii="Calibri" w:hAnsi="Calibri" w:cs="Arial"/>
          <w:szCs w:val="20"/>
        </w:rPr>
        <w:t>wane i wdrożone*;</w:t>
      </w:r>
    </w:p>
    <w:p w:rsidR="00C46C53" w:rsidRPr="0020723B" w:rsidRDefault="00C46C53" w:rsidP="00C46C53">
      <w:pPr>
        <w:pStyle w:val="Akapitzlist"/>
        <w:numPr>
          <w:ilvl w:val="1"/>
          <w:numId w:val="3"/>
        </w:numPr>
        <w:tabs>
          <w:tab w:val="left" w:pos="2182"/>
        </w:tabs>
        <w:spacing w:line="247" w:lineRule="auto"/>
        <w:ind w:left="2182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opracowane i wdrożone Standardowe Procedury Postępowania uwzględniają postępowanie oparte o aktualną wiedzę medyczną;</w:t>
      </w:r>
    </w:p>
    <w:p w:rsidR="00C46C53" w:rsidRPr="0020723B" w:rsidRDefault="00C46C53" w:rsidP="00C46C53">
      <w:pPr>
        <w:pStyle w:val="Akapitzlist"/>
        <w:numPr>
          <w:ilvl w:val="1"/>
          <w:numId w:val="3"/>
        </w:numPr>
        <w:tabs>
          <w:tab w:val="left" w:pos="2182"/>
        </w:tabs>
        <w:spacing w:line="247" w:lineRule="auto"/>
        <w:ind w:left="2182"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opracowane i wdrożone Standardowe Procedury Postępowania uwzględniają możliwości realizacji w warunkach lokalowych szpitala, z uwzględnieniem struktury zatrudnienia;</w:t>
      </w:r>
    </w:p>
    <w:p w:rsidR="00C46C53" w:rsidRPr="0020723B" w:rsidRDefault="00C46C53" w:rsidP="00C46C53">
      <w:pPr>
        <w:pStyle w:val="Akapitzlist"/>
        <w:numPr>
          <w:ilvl w:val="1"/>
          <w:numId w:val="3"/>
        </w:numPr>
        <w:tabs>
          <w:tab w:val="left" w:pos="2182"/>
        </w:tabs>
        <w:spacing w:line="247" w:lineRule="auto"/>
        <w:ind w:left="2182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opracowane i wdrożone Standardowe Procedury Postępowania uwzględniają możliwości realizacji w warunkach lokalowych szpitala, z uwzględnie</w:t>
      </w:r>
      <w:r>
        <w:rPr>
          <w:rFonts w:ascii="Calibri" w:hAnsi="Calibri" w:cs="Arial"/>
          <w:szCs w:val="20"/>
        </w:rPr>
        <w:t>niem dostępnych możliwości dia</w:t>
      </w:r>
      <w:r w:rsidRPr="0020723B">
        <w:rPr>
          <w:rFonts w:ascii="Calibri" w:hAnsi="Calibri" w:cs="Arial"/>
          <w:szCs w:val="20"/>
        </w:rPr>
        <w:t>gnostycznych;</w:t>
      </w:r>
    </w:p>
    <w:p w:rsidR="00C46C53" w:rsidRPr="0020723B" w:rsidRDefault="00C46C53" w:rsidP="00C46C53">
      <w:pPr>
        <w:pStyle w:val="Akapitzlist"/>
        <w:numPr>
          <w:ilvl w:val="1"/>
          <w:numId w:val="3"/>
        </w:numPr>
        <w:tabs>
          <w:tab w:val="left" w:pos="2182"/>
        </w:tabs>
        <w:spacing w:line="247" w:lineRule="auto"/>
        <w:ind w:left="2182" w:right="140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opracowane i wdrożone Standardowe Procedury Postępowania uwzględniają możliwości realizacji w warunkach lokalowych szpitala, z uwzględnieniem możliwości terapeutycznych;</w:t>
      </w:r>
    </w:p>
    <w:p w:rsidR="00C46C53" w:rsidRPr="0020723B" w:rsidRDefault="00C46C53" w:rsidP="00C46C53">
      <w:pPr>
        <w:pStyle w:val="Akapitzlist"/>
        <w:numPr>
          <w:ilvl w:val="1"/>
          <w:numId w:val="3"/>
        </w:numPr>
        <w:tabs>
          <w:tab w:val="left" w:pos="2182"/>
        </w:tabs>
        <w:spacing w:line="247" w:lineRule="auto"/>
        <w:ind w:left="2182" w:right="143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szpitalnym oddziale ratunkowym lub izbie przyjęć, rekomenduje się wykorzystywanie algorytmów postępowania dla wybranych jednostek chorobowych;</w:t>
      </w:r>
    </w:p>
    <w:p w:rsidR="00C46C53" w:rsidRPr="0020723B" w:rsidRDefault="00C46C53" w:rsidP="00C46C53">
      <w:pPr>
        <w:pStyle w:val="Akapitzlist"/>
        <w:numPr>
          <w:ilvl w:val="1"/>
          <w:numId w:val="3"/>
        </w:numPr>
        <w:tabs>
          <w:tab w:val="left" w:pos="2182"/>
        </w:tabs>
        <w:spacing w:line="247" w:lineRule="auto"/>
        <w:ind w:left="2182" w:right="143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szpitalnym oddziale ratunkowym lub izbie przyjęć, rekomenduje się wykorzystywanie mierników dla wybranych jednostek chorobowych.</w:t>
      </w:r>
    </w:p>
    <w:p w:rsidR="00C46C53" w:rsidRPr="0020723B" w:rsidRDefault="00C46C53" w:rsidP="00C46C53">
      <w:pPr>
        <w:pStyle w:val="Tekstpodstawowy"/>
        <w:spacing w:before="172" w:line="247" w:lineRule="auto"/>
        <w:ind w:left="1842" w:right="13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Dla szpitali wielospecjalistycznych co najmniej 60% stanowi 7 kamieni milowych. Dla szpitali </w:t>
      </w:r>
      <w:proofErr w:type="spellStart"/>
      <w:r w:rsidRPr="0020723B">
        <w:rPr>
          <w:rFonts w:ascii="Calibri" w:hAnsi="Calibri" w:cs="Arial"/>
          <w:sz w:val="22"/>
        </w:rPr>
        <w:t>monospecjalistycznych</w:t>
      </w:r>
      <w:proofErr w:type="spellEnd"/>
      <w:r w:rsidRPr="0020723B">
        <w:rPr>
          <w:rFonts w:ascii="Calibri" w:hAnsi="Calibri" w:cs="Arial"/>
          <w:sz w:val="22"/>
        </w:rPr>
        <w:t xml:space="preserve"> co najmniej 60% stanowi 5 kamieni milowych (bez oznaczonych *).</w:t>
      </w:r>
    </w:p>
    <w:p w:rsidR="00C46C53" w:rsidRPr="0020723B" w:rsidRDefault="00C46C53" w:rsidP="00C46C53">
      <w:pPr>
        <w:pStyle w:val="Tekstpodstawowy"/>
        <w:spacing w:before="2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* nie obowiązuje szpitali </w:t>
      </w:r>
      <w:proofErr w:type="spellStart"/>
      <w:r w:rsidRPr="0020723B">
        <w:rPr>
          <w:rFonts w:ascii="Calibri" w:hAnsi="Calibri" w:cs="Arial"/>
          <w:sz w:val="22"/>
        </w:rPr>
        <w:t>monospecjalistycznych</w:t>
      </w:r>
      <w:proofErr w:type="spellEnd"/>
      <w:r w:rsidRPr="0020723B">
        <w:rPr>
          <w:rFonts w:ascii="Calibri" w:hAnsi="Calibri" w:cs="Arial"/>
          <w:sz w:val="22"/>
        </w:rPr>
        <w:t>.</w:t>
      </w:r>
    </w:p>
    <w:p w:rsidR="00C46C53" w:rsidRPr="0020723B" w:rsidRDefault="00C46C53" w:rsidP="00C46C53">
      <w:pPr>
        <w:pStyle w:val="Tekstpodstawowy"/>
        <w:spacing w:before="3"/>
        <w:rPr>
          <w:rFonts w:ascii="Calibri" w:hAnsi="Calibri" w:cs="Arial"/>
          <w:sz w:val="22"/>
        </w:rPr>
      </w:pPr>
    </w:p>
    <w:p w:rsidR="00C46C53" w:rsidRDefault="00C46C53" w:rsidP="00C46C53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C46C53" w:rsidRDefault="00C46C53" w:rsidP="00C46C53">
      <w:pPr>
        <w:pStyle w:val="Heading9"/>
        <w:jc w:val="left"/>
        <w:rPr>
          <w:rFonts w:ascii="Calibri" w:hAnsi="Calibri" w:cs="Arial"/>
          <w:b w:val="0"/>
          <w:sz w:val="22"/>
        </w:rPr>
      </w:pPr>
    </w:p>
    <w:p w:rsidR="00427D73" w:rsidRDefault="002F13EE"/>
    <w:sectPr w:rsidR="00427D73" w:rsidSect="003C5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E378C"/>
    <w:multiLevelType w:val="hybridMultilevel"/>
    <w:tmpl w:val="5ECE611E"/>
    <w:lvl w:ilvl="0" w:tplc="22AEB2EE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F0F216F4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EA9AC766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49DCE304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8CA65BA4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1B1A2126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FF8C4982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58D0941A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52FE58F0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abstractNum w:abstractNumId="1">
    <w:nsid w:val="06701AD6"/>
    <w:multiLevelType w:val="hybridMultilevel"/>
    <w:tmpl w:val="7D9C6F5A"/>
    <w:lvl w:ilvl="0" w:tplc="44CC9B50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F43AFD0E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9990A954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AFCA6564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069AA60C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C53AB782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ACF82512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91FE3756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25FA2A0A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abstractNum w:abstractNumId="2">
    <w:nsid w:val="23D1474B"/>
    <w:multiLevelType w:val="hybridMultilevel"/>
    <w:tmpl w:val="83D895EA"/>
    <w:lvl w:ilvl="0" w:tplc="D4D4758E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380C892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9DF0AB64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B036AA06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49C8CE56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41629A32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EBE2C7E0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8E46B24C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9ABA3C14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C46C53"/>
    <w:rsid w:val="000745AD"/>
    <w:rsid w:val="002F13EE"/>
    <w:rsid w:val="003C5944"/>
    <w:rsid w:val="00682510"/>
    <w:rsid w:val="0096219A"/>
    <w:rsid w:val="00C46C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C46C5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C46C53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C46C53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C46C53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C46C53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C46C53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C46C53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592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3</cp:revision>
  <dcterms:created xsi:type="dcterms:W3CDTF">2025-07-07T10:33:00Z</dcterms:created>
  <dcterms:modified xsi:type="dcterms:W3CDTF">2025-07-07T12:00:00Z</dcterms:modified>
</cp:coreProperties>
</file>