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309" w:rsidRPr="0020723B" w:rsidRDefault="000A1309" w:rsidP="000A1309">
      <w:pPr>
        <w:pStyle w:val="Heading4"/>
        <w:spacing w:before="155"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2" o:spid="_x0000_s1026" type="#_x0000_t202" style="position:absolute;left:0;text-align:left;margin-left:85.05pt;margin-top:.15pt;width:45.4pt;height:63.35pt;z-index:251660288;mso-position-horizontal-relative:page" fillcolor="#bee3eb" stroked="f">
            <v:textbox inset="0,0,0,0">
              <w:txbxContent>
                <w:p w:rsidR="000A1309" w:rsidRDefault="000A1309" w:rsidP="000A1309">
                  <w:pPr>
                    <w:pStyle w:val="Tekstpodstawowy"/>
                    <w:spacing w:before="196"/>
                    <w:rPr>
                      <w:color w:val="000000"/>
                      <w:sz w:val="24"/>
                    </w:rPr>
                  </w:pPr>
                </w:p>
                <w:p w:rsidR="000A1309" w:rsidRDefault="000A1309" w:rsidP="000A1309">
                  <w:pPr>
                    <w:ind w:left="203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623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0A1309" w:rsidRDefault="000A1309" w:rsidP="000A1309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DOSTĘP DO LEKÓW, SPRZĘTU</w:t>
      </w:r>
    </w:p>
    <w:p w:rsidR="000A1309" w:rsidRPr="0020723B" w:rsidRDefault="000A1309" w:rsidP="000A1309">
      <w:pPr>
        <w:pStyle w:val="Heading4"/>
        <w:spacing w:before="21" w:line="194" w:lineRule="auto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 MATERIAŁÓW STOSOWANYCH W STANACH NAGŁEGO ZAGROŻENIA ŻYCIA (STANDARD OBLIGATORYJNY).</w:t>
      </w:r>
    </w:p>
    <w:p w:rsidR="000A1309" w:rsidRPr="0020723B" w:rsidRDefault="000A1309" w:rsidP="000A1309">
      <w:pPr>
        <w:pStyle w:val="Heading6"/>
        <w:numPr>
          <w:ilvl w:val="0"/>
          <w:numId w:val="1"/>
        </w:numPr>
        <w:tabs>
          <w:tab w:val="left" w:pos="1842"/>
        </w:tabs>
        <w:spacing w:before="30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A1309" w:rsidRPr="0020723B" w:rsidRDefault="000A1309" w:rsidP="000A1309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stałą dostępność leków, sprzętu i materiałów stosowanych w stanach nagłego zagrożenia życia w obszarach pobytu pacjentów, w tym również sprzęt do resuscytacji małych dzieci, adekwatnie do specyfiki grup osób hospitalizowanych. Ich r</w:t>
      </w:r>
      <w:r>
        <w:rPr>
          <w:rFonts w:ascii="Calibri" w:hAnsi="Calibri" w:cs="Arial"/>
          <w:sz w:val="22"/>
        </w:rPr>
        <w:t>odzaj, ilość i sposób zabezpie</w:t>
      </w:r>
      <w:r w:rsidRPr="0020723B">
        <w:rPr>
          <w:rFonts w:ascii="Calibri" w:hAnsi="Calibri" w:cs="Arial"/>
          <w:sz w:val="22"/>
        </w:rPr>
        <w:t>czenia, uzupełniania oraz wymiany są określone w formie pisemnej. Minimalny zestaw dostępnych leków i materiałów powinien być zgodny z aktualnymi wytycznymi Europejskiej Rady Resuscytacji i obowiązującymi przepisami.</w:t>
      </w:r>
    </w:p>
    <w:p w:rsidR="000A1309" w:rsidRPr="0020723B" w:rsidRDefault="000A1309" w:rsidP="000A1309">
      <w:pPr>
        <w:pStyle w:val="Tekstpodstawowy"/>
        <w:spacing w:before="5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Leki, sprzęt i materiały powinny być przechowywane w sposób funkcjonalny, umożliwiający szybkie dotarcie do pacjenta oraz dogodne korzystanie z zestawu. Należ</w:t>
      </w:r>
      <w:r>
        <w:rPr>
          <w:rFonts w:ascii="Calibri" w:hAnsi="Calibri" w:cs="Arial"/>
          <w:sz w:val="22"/>
        </w:rPr>
        <w:t>y wyznaczyć osobę odpowiedzial</w:t>
      </w:r>
      <w:r w:rsidRPr="0020723B">
        <w:rPr>
          <w:rFonts w:ascii="Calibri" w:hAnsi="Calibri" w:cs="Arial"/>
          <w:sz w:val="22"/>
        </w:rPr>
        <w:t>ną za określenie zawartości zestawu i jego aktualizację oraz nadzór nad zestawami w oddziałach.</w:t>
      </w:r>
    </w:p>
    <w:p w:rsidR="000A1309" w:rsidRPr="0020723B" w:rsidRDefault="000A1309" w:rsidP="000A1309">
      <w:pPr>
        <w:pStyle w:val="Tekstpodstawowy"/>
        <w:spacing w:before="173"/>
        <w:rPr>
          <w:rFonts w:ascii="Calibri" w:hAnsi="Calibri" w:cs="Arial"/>
          <w:sz w:val="22"/>
        </w:rPr>
      </w:pPr>
    </w:p>
    <w:p w:rsidR="000A1309" w:rsidRPr="0020723B" w:rsidRDefault="000A1309" w:rsidP="000A1309">
      <w:pPr>
        <w:pStyle w:val="Heading6"/>
        <w:numPr>
          <w:ilvl w:val="0"/>
          <w:numId w:val="1"/>
        </w:numPr>
        <w:tabs>
          <w:tab w:val="left" w:pos="1841"/>
        </w:tabs>
        <w:spacing w:before="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A1309" w:rsidRPr="0020723B" w:rsidRDefault="000A1309" w:rsidP="000A1309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0A1309" w:rsidRPr="0020723B" w:rsidRDefault="000A1309" w:rsidP="000A130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0A1309" w:rsidRPr="0020723B" w:rsidRDefault="000A1309" w:rsidP="000A130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0A1309" w:rsidRPr="0020723B" w:rsidRDefault="000A1309" w:rsidP="000A130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0A1309" w:rsidRPr="0020723B" w:rsidRDefault="000A1309" w:rsidP="000A1309">
      <w:pPr>
        <w:pStyle w:val="Tekstpodstawowy"/>
        <w:spacing w:before="179"/>
        <w:rPr>
          <w:rFonts w:ascii="Calibri" w:hAnsi="Calibri" w:cs="Arial"/>
          <w:sz w:val="22"/>
        </w:rPr>
      </w:pPr>
    </w:p>
    <w:p w:rsidR="000A1309" w:rsidRPr="0020723B" w:rsidRDefault="000A1309" w:rsidP="000A1309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A1309" w:rsidRPr="0020723B" w:rsidRDefault="000A1309" w:rsidP="000A1309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dostęp do leków, sprzętu i materiałów stosowanych w stanach nagłego zagrożenia życia zgodnie z wymogami standardu.</w:t>
      </w:r>
    </w:p>
    <w:p w:rsidR="000A1309" w:rsidRPr="0020723B" w:rsidRDefault="000A1309" w:rsidP="000A1309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dostępu do leków, sprzętu i materiałów stosowanych w stanach nagłego zagrożenia życia zgodnie z wymogami standardu.</w:t>
      </w:r>
    </w:p>
    <w:p w:rsidR="000A1309" w:rsidRPr="0020723B" w:rsidRDefault="000A1309" w:rsidP="000A1309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0A1309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1E6FB2"/>
    <w:multiLevelType w:val="hybridMultilevel"/>
    <w:tmpl w:val="8842B944"/>
    <w:lvl w:ilvl="0" w:tplc="DE7CF22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224990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AD4AFB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F243BA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32CF40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99881A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558B6C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BB2A4F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9229D0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A1309"/>
    <w:rsid w:val="000745AD"/>
    <w:rsid w:val="000A1309"/>
    <w:rsid w:val="003C5944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A130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A130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A130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A130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A130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A130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A130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2025-07-07T10:34:00Z</dcterms:created>
  <dcterms:modified xsi:type="dcterms:W3CDTF">2025-07-07T10:34:00Z</dcterms:modified>
</cp:coreProperties>
</file>