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5C6C" w:rsidRPr="0020723B" w:rsidRDefault="00685C6C" w:rsidP="00685C6C">
      <w:pPr>
        <w:pStyle w:val="Tekstpodstawowy"/>
        <w:spacing w:before="195"/>
        <w:rPr>
          <w:rFonts w:ascii="Calibri" w:hAnsi="Calibri" w:cs="Arial"/>
          <w:sz w:val="22"/>
        </w:rPr>
      </w:pPr>
    </w:p>
    <w:p w:rsidR="00685C6C" w:rsidRPr="0020723B" w:rsidRDefault="00685C6C" w:rsidP="00685C6C">
      <w:pPr>
        <w:pStyle w:val="Heading4"/>
        <w:spacing w:line="194" w:lineRule="auto"/>
        <w:ind w:left="1275" w:right="2363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626" o:spid="_x0000_s1026" type="#_x0000_t202" style="position:absolute;left:0;text-align:left;margin-left:56.7pt;margin-top:-7.9pt;width:45.4pt;height:58.05pt;z-index:251660288;mso-position-horizontal-relative:page" fillcolor="#bee3eb" stroked="f">
            <v:textbox inset="0,0,0,0">
              <w:txbxContent>
                <w:p w:rsidR="00685C6C" w:rsidRDefault="00685C6C" w:rsidP="00685C6C">
                  <w:pPr>
                    <w:pStyle w:val="Tekstpodstawowy"/>
                    <w:spacing w:before="143"/>
                    <w:rPr>
                      <w:color w:val="000000"/>
                      <w:sz w:val="24"/>
                    </w:rPr>
                  </w:pPr>
                </w:p>
                <w:p w:rsidR="00685C6C" w:rsidRDefault="00685C6C" w:rsidP="00685C6C">
                  <w:pPr>
                    <w:ind w:left="208"/>
                    <w:rPr>
                      <w:rFonts w:ascii="Arial Black" w:hAnsi="Arial Black"/>
                      <w:color w:val="000000"/>
                      <w:sz w:val="24"/>
                    </w:rPr>
                  </w:pPr>
                  <w:r>
                    <w:rPr>
                      <w:rFonts w:ascii="Arial Black" w:hAnsi="Arial Black"/>
                      <w:color w:val="072160"/>
                      <w:w w:val="80"/>
                      <w:sz w:val="24"/>
                    </w:rPr>
                    <w:t>ZŻ</w:t>
                  </w:r>
                  <w:r>
                    <w:rPr>
                      <w:rFonts w:ascii="Arial Black" w:hAnsi="Arial Black"/>
                      <w:color w:val="072160"/>
                      <w:spacing w:val="-8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 w:hAnsi="Arial Black"/>
                      <w:color w:val="072160"/>
                      <w:spacing w:val="-10"/>
                      <w:sz w:val="24"/>
                    </w:rPr>
                    <w:t>6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W SZPITALU PROWADZONA JEST ANALIZA CZYNNOŚCI RESUSCYTACYJNYCH</w:t>
      </w:r>
    </w:p>
    <w:p w:rsidR="00685C6C" w:rsidRPr="0020723B" w:rsidRDefault="00685C6C" w:rsidP="00685C6C">
      <w:pPr>
        <w:pStyle w:val="Heading4"/>
        <w:spacing w:line="337" w:lineRule="exact"/>
        <w:ind w:left="1275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(STANDARD MOŻE BYĆ WYŁĄCZONY).</w:t>
      </w:r>
    </w:p>
    <w:p w:rsidR="00685C6C" w:rsidRPr="0020723B" w:rsidRDefault="00685C6C" w:rsidP="00685C6C">
      <w:pPr>
        <w:pStyle w:val="Tekstpodstawowy"/>
        <w:spacing w:before="47"/>
        <w:rPr>
          <w:rFonts w:ascii="Calibri" w:hAnsi="Calibri" w:cs="Arial"/>
          <w:sz w:val="22"/>
        </w:rPr>
      </w:pPr>
    </w:p>
    <w:p w:rsidR="00685C6C" w:rsidRPr="0020723B" w:rsidRDefault="00685C6C" w:rsidP="00685C6C">
      <w:pPr>
        <w:pStyle w:val="Heading6"/>
        <w:numPr>
          <w:ilvl w:val="0"/>
          <w:numId w:val="2"/>
        </w:numPr>
        <w:tabs>
          <w:tab w:val="left" w:pos="1275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685C6C" w:rsidRPr="0020723B" w:rsidRDefault="00685C6C" w:rsidP="00685C6C">
      <w:pPr>
        <w:pStyle w:val="Tekstpodstawowy"/>
        <w:spacing w:before="218" w:line="247" w:lineRule="auto"/>
        <w:ind w:left="1275" w:right="707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Analiza resuscytacji prowadzonych w szpitalu służy do poprawy </w:t>
      </w:r>
      <w:r>
        <w:rPr>
          <w:rFonts w:ascii="Calibri" w:hAnsi="Calibri" w:cs="Arial"/>
          <w:sz w:val="22"/>
        </w:rPr>
        <w:t>skuteczności działań resuscyta</w:t>
      </w:r>
      <w:r w:rsidRPr="0020723B">
        <w:rPr>
          <w:rFonts w:ascii="Calibri" w:hAnsi="Calibri" w:cs="Arial"/>
          <w:sz w:val="22"/>
        </w:rPr>
        <w:t>cyjnych podejmowanych w szpitalu.</w:t>
      </w:r>
    </w:p>
    <w:p w:rsidR="00685C6C" w:rsidRPr="0020723B" w:rsidRDefault="00685C6C" w:rsidP="00685C6C">
      <w:pPr>
        <w:pStyle w:val="Tekstpodstawowy"/>
        <w:spacing w:before="9"/>
        <w:rPr>
          <w:rFonts w:ascii="Calibri" w:hAnsi="Calibri" w:cs="Arial"/>
          <w:sz w:val="22"/>
        </w:rPr>
      </w:pPr>
    </w:p>
    <w:p w:rsidR="00685C6C" w:rsidRPr="0020723B" w:rsidRDefault="00685C6C" w:rsidP="00685C6C">
      <w:pPr>
        <w:pStyle w:val="Tekstpodstawowy"/>
        <w:spacing w:line="230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Analiza resuscytacji, prowadzona dwa razy w roku, powinna obejmować:</w:t>
      </w:r>
    </w:p>
    <w:p w:rsidR="00685C6C" w:rsidRPr="0020723B" w:rsidRDefault="00685C6C" w:rsidP="00685C6C">
      <w:pPr>
        <w:pStyle w:val="Akapitzlist"/>
        <w:numPr>
          <w:ilvl w:val="1"/>
          <w:numId w:val="2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liczbę interwencji;</w:t>
      </w:r>
    </w:p>
    <w:p w:rsidR="00685C6C" w:rsidRPr="0020723B" w:rsidRDefault="00685C6C" w:rsidP="00685C6C">
      <w:pPr>
        <w:pStyle w:val="Akapitzlist"/>
        <w:numPr>
          <w:ilvl w:val="1"/>
          <w:numId w:val="2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skuteczność interwencji;</w:t>
      </w:r>
    </w:p>
    <w:p w:rsidR="00685C6C" w:rsidRPr="0020723B" w:rsidRDefault="00685C6C" w:rsidP="00685C6C">
      <w:pPr>
        <w:pStyle w:val="Akapitzlist"/>
        <w:numPr>
          <w:ilvl w:val="1"/>
          <w:numId w:val="2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określenie przyczyny zatrzymania krążenia i oddychania;</w:t>
      </w:r>
    </w:p>
    <w:p w:rsidR="00685C6C" w:rsidRPr="0020723B" w:rsidRDefault="00685C6C" w:rsidP="00685C6C">
      <w:pPr>
        <w:pStyle w:val="Akapitzlist"/>
        <w:numPr>
          <w:ilvl w:val="1"/>
          <w:numId w:val="2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czas rozpoczęcia czynności resuscytacyjnych;</w:t>
      </w:r>
    </w:p>
    <w:p w:rsidR="00685C6C" w:rsidRPr="0020723B" w:rsidRDefault="00685C6C" w:rsidP="00685C6C">
      <w:pPr>
        <w:pStyle w:val="Akapitzlist"/>
        <w:numPr>
          <w:ilvl w:val="1"/>
          <w:numId w:val="2"/>
        </w:numPr>
        <w:tabs>
          <w:tab w:val="left" w:pos="1615"/>
        </w:tabs>
        <w:spacing w:line="247" w:lineRule="auto"/>
        <w:ind w:right="71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zgodność postępowania z przyjętą Standardową Procedurą Postępowania w stanach nagłego zagrożenia życia;</w:t>
      </w:r>
    </w:p>
    <w:p w:rsidR="00685C6C" w:rsidRPr="0020723B" w:rsidRDefault="00685C6C" w:rsidP="00685C6C">
      <w:pPr>
        <w:pStyle w:val="Akapitzlist"/>
        <w:numPr>
          <w:ilvl w:val="1"/>
          <w:numId w:val="2"/>
        </w:numPr>
        <w:tabs>
          <w:tab w:val="left" w:pos="1615"/>
        </w:tabs>
        <w:spacing w:line="234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ocenę postępowania personelu uczestniczącego w resuscytacji w oddziałach.</w:t>
      </w:r>
    </w:p>
    <w:p w:rsidR="00685C6C" w:rsidRPr="0020723B" w:rsidRDefault="00685C6C" w:rsidP="00685C6C">
      <w:pPr>
        <w:pStyle w:val="Tekstpodstawowy"/>
        <w:spacing w:before="13"/>
        <w:rPr>
          <w:rFonts w:ascii="Calibri" w:hAnsi="Calibri" w:cs="Arial"/>
          <w:sz w:val="22"/>
        </w:rPr>
      </w:pPr>
    </w:p>
    <w:p w:rsidR="00685C6C" w:rsidRPr="0020723B" w:rsidRDefault="00685C6C" w:rsidP="00685C6C">
      <w:pPr>
        <w:pStyle w:val="Tekstpodstawowy"/>
        <w:spacing w:line="230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Wnioski z analizy resuscytacji powinny dotyczyć co najmniej:</w:t>
      </w:r>
    </w:p>
    <w:p w:rsidR="00685C6C" w:rsidRPr="0020723B" w:rsidRDefault="00685C6C" w:rsidP="00685C6C">
      <w:pPr>
        <w:pStyle w:val="Akapitzlist"/>
        <w:numPr>
          <w:ilvl w:val="0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modyfikacji lub braku potrzeby zmiany Standardowej Procedury Postępowania;</w:t>
      </w:r>
    </w:p>
    <w:p w:rsidR="00685C6C" w:rsidRPr="0020723B" w:rsidRDefault="00685C6C" w:rsidP="00685C6C">
      <w:pPr>
        <w:pStyle w:val="Akapitzlist"/>
        <w:numPr>
          <w:ilvl w:val="0"/>
          <w:numId w:val="1"/>
        </w:numPr>
        <w:tabs>
          <w:tab w:val="left" w:pos="1614"/>
        </w:tabs>
        <w:ind w:left="1614" w:hanging="3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dostępności i funkcjonalności leków, sprzętu i materiałów stosowanych w stanach zagrożenia życia;</w:t>
      </w:r>
    </w:p>
    <w:p w:rsidR="00685C6C" w:rsidRPr="0020723B" w:rsidRDefault="00685C6C" w:rsidP="00685C6C">
      <w:pPr>
        <w:pStyle w:val="Akapitzlist"/>
        <w:numPr>
          <w:ilvl w:val="0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działań edukacyjnych.</w:t>
      </w:r>
    </w:p>
    <w:p w:rsidR="00685C6C" w:rsidRPr="0020723B" w:rsidRDefault="00685C6C" w:rsidP="00685C6C">
      <w:pPr>
        <w:pStyle w:val="Tekstpodstawowy"/>
        <w:spacing w:before="16"/>
        <w:rPr>
          <w:rFonts w:ascii="Calibri" w:hAnsi="Calibri" w:cs="Arial"/>
          <w:sz w:val="22"/>
        </w:rPr>
      </w:pPr>
    </w:p>
    <w:p w:rsidR="00685C6C" w:rsidRPr="0020723B" w:rsidRDefault="00685C6C" w:rsidP="00685C6C">
      <w:pPr>
        <w:pStyle w:val="Tekstpodstawowy"/>
        <w:spacing w:line="247" w:lineRule="auto"/>
        <w:ind w:left="1275" w:right="707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Wnioski z analizy są prezentowane personelowi; po wyłączeniu danych osobowych powinny stanowić materiał pomocniczy w trakcie szkolenia z resuscytacji krążeniowo-oddechowej.</w:t>
      </w:r>
    </w:p>
    <w:p w:rsidR="00685C6C" w:rsidRPr="0020723B" w:rsidRDefault="00685C6C" w:rsidP="00685C6C">
      <w:pPr>
        <w:pStyle w:val="Heading6"/>
        <w:numPr>
          <w:ilvl w:val="0"/>
          <w:numId w:val="2"/>
        </w:numPr>
        <w:tabs>
          <w:tab w:val="left" w:pos="1316"/>
        </w:tabs>
        <w:spacing w:before="165"/>
        <w:ind w:left="1316" w:hanging="416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685C6C" w:rsidRPr="0020723B" w:rsidRDefault="00685C6C" w:rsidP="00685C6C">
      <w:pPr>
        <w:pStyle w:val="Akapitzlist"/>
        <w:numPr>
          <w:ilvl w:val="1"/>
          <w:numId w:val="2"/>
        </w:numPr>
        <w:tabs>
          <w:tab w:val="left" w:pos="1614"/>
        </w:tabs>
        <w:spacing w:before="206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685C6C" w:rsidRPr="0020723B" w:rsidRDefault="00685C6C" w:rsidP="00685C6C">
      <w:pPr>
        <w:pStyle w:val="Akapitzlist"/>
        <w:numPr>
          <w:ilvl w:val="1"/>
          <w:numId w:val="2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medycznej;</w:t>
      </w:r>
    </w:p>
    <w:p w:rsidR="00685C6C" w:rsidRPr="0020723B" w:rsidRDefault="00685C6C" w:rsidP="00685C6C">
      <w:pPr>
        <w:pStyle w:val="Akapitzlist"/>
        <w:numPr>
          <w:ilvl w:val="1"/>
          <w:numId w:val="2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personelem.</w:t>
      </w:r>
    </w:p>
    <w:p w:rsidR="00685C6C" w:rsidRPr="0020723B" w:rsidRDefault="00685C6C" w:rsidP="00685C6C">
      <w:pPr>
        <w:pStyle w:val="Heading6"/>
        <w:numPr>
          <w:ilvl w:val="0"/>
          <w:numId w:val="2"/>
        </w:numPr>
        <w:tabs>
          <w:tab w:val="left" w:pos="1274"/>
        </w:tabs>
        <w:spacing w:before="171"/>
        <w:ind w:left="1274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685C6C" w:rsidRPr="0020723B" w:rsidRDefault="00685C6C" w:rsidP="00685C6C">
      <w:pPr>
        <w:pStyle w:val="Tekstpodstawowy"/>
        <w:tabs>
          <w:tab w:val="left" w:pos="1615"/>
        </w:tabs>
        <w:spacing w:before="206" w:line="242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szpitalu jest prowadzona analiza resuscytacji zgodnie z wymogami standardu.</w:t>
      </w:r>
    </w:p>
    <w:p w:rsidR="00685C6C" w:rsidRPr="0020723B" w:rsidRDefault="00685C6C" w:rsidP="00685C6C">
      <w:pPr>
        <w:pStyle w:val="Tekstpodstawowy"/>
        <w:tabs>
          <w:tab w:val="left" w:pos="1615"/>
        </w:tabs>
        <w:spacing w:line="247" w:lineRule="auto"/>
        <w:ind w:left="1615" w:right="712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685C6C" w:rsidRDefault="00685C6C" w:rsidP="00685C6C">
      <w:pPr>
        <w:pStyle w:val="Tekstpodstawowy"/>
        <w:tabs>
          <w:tab w:val="left" w:pos="1615"/>
        </w:tabs>
        <w:spacing w:line="234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szpitalu nie jest prowadzona analiza resuscytacji zgodnie z wymogami standardu.</w:t>
      </w:r>
    </w:p>
    <w:p w:rsidR="00685C6C" w:rsidRDefault="00685C6C" w:rsidP="00685C6C">
      <w:pPr>
        <w:pStyle w:val="Tekstpodstawowy"/>
        <w:tabs>
          <w:tab w:val="left" w:pos="1615"/>
        </w:tabs>
        <w:spacing w:line="234" w:lineRule="exact"/>
        <w:ind w:left="1275"/>
        <w:rPr>
          <w:rFonts w:ascii="Calibri" w:hAnsi="Calibri" w:cs="Arial"/>
          <w:sz w:val="22"/>
        </w:rPr>
      </w:pPr>
    </w:p>
    <w:p w:rsidR="00685C6C" w:rsidRPr="0020723B" w:rsidRDefault="00685C6C" w:rsidP="00685C6C">
      <w:pPr>
        <w:pStyle w:val="Tekstpodstawowy"/>
        <w:tabs>
          <w:tab w:val="left" w:pos="1615"/>
        </w:tabs>
        <w:spacing w:line="234" w:lineRule="exact"/>
        <w:ind w:left="1275"/>
        <w:rPr>
          <w:rFonts w:ascii="Calibri" w:hAnsi="Calibri" w:cs="Arial"/>
          <w:sz w:val="22"/>
        </w:rPr>
      </w:pPr>
      <w:r>
        <w:rPr>
          <w:rFonts w:ascii="Calibri" w:hAnsi="Calibri" w:cs="Arial"/>
          <w:sz w:val="22"/>
        </w:rPr>
        <w:t xml:space="preserve"> </w:t>
      </w:r>
      <w:r>
        <w:rPr>
          <w:rFonts w:ascii="Calibri" w:hAnsi="Calibri" w:cs="Arial"/>
          <w:sz w:val="22"/>
        </w:rPr>
        <w:pict>
          <v:shape id="docshape1627" o:spid="_x0000_s1027" type="#_x0000_t202" style="position:absolute;left:0;text-align:left;margin-left:568.95pt;margin-top:282.25pt;width:24.4pt;height:49.95pt;z-index:251661312;mso-position-horizontal-relative:page;mso-position-vertical-relative:page" filled="f" stroked="f">
            <v:textbox style="layout-flow:vertical" inset="0,0,0,0">
              <w:txbxContent>
                <w:p w:rsidR="00685C6C" w:rsidRDefault="00685C6C" w:rsidP="00685C6C">
                  <w:pPr>
                    <w:tabs>
                      <w:tab w:val="left" w:pos="300"/>
                      <w:tab w:val="left" w:pos="978"/>
                    </w:tabs>
                    <w:spacing w:before="4"/>
                    <w:ind w:left="20"/>
                    <w:rPr>
                      <w:rFonts w:ascii="Arial Black" w:hAnsi="Arial Black"/>
                      <w:sz w:val="32"/>
                    </w:rPr>
                  </w:pPr>
                  <w:r>
                    <w:rPr>
                      <w:rFonts w:ascii="Times New Roman" w:hAnsi="Times New Roman"/>
                      <w:color w:val="FFFFFF"/>
                      <w:sz w:val="32"/>
                      <w:shd w:val="clear" w:color="auto" w:fill="072160"/>
                    </w:rPr>
                    <w:tab/>
                  </w:r>
                  <w:r>
                    <w:rPr>
                      <w:rFonts w:ascii="Arial Black" w:hAnsi="Arial Black"/>
                      <w:color w:val="FFFFFF"/>
                      <w:spacing w:val="-5"/>
                      <w:w w:val="90"/>
                      <w:sz w:val="32"/>
                      <w:shd w:val="clear" w:color="auto" w:fill="072160"/>
                    </w:rPr>
                    <w:t>ZŻ</w:t>
                  </w:r>
                  <w:r>
                    <w:rPr>
                      <w:rFonts w:ascii="Arial Black" w:hAnsi="Arial Black"/>
                      <w:color w:val="FFFFFF"/>
                      <w:sz w:val="32"/>
                      <w:shd w:val="clear" w:color="auto" w:fill="072160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color w:val="072160"/>
          <w:sz w:val="22"/>
        </w:rPr>
        <w:t>Kamienie milowe</w:t>
      </w:r>
    </w:p>
    <w:p w:rsidR="00685C6C" w:rsidRPr="0020723B" w:rsidRDefault="00685C6C" w:rsidP="00685C6C">
      <w:pPr>
        <w:pStyle w:val="Akapitzlist"/>
        <w:numPr>
          <w:ilvl w:val="1"/>
          <w:numId w:val="2"/>
        </w:numPr>
        <w:tabs>
          <w:tab w:val="left" w:pos="2181"/>
        </w:tabs>
        <w:spacing w:before="206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prowadzi analizę resuscytacji 2 razy w roku;</w:t>
      </w:r>
    </w:p>
    <w:p w:rsidR="00685C6C" w:rsidRPr="0020723B" w:rsidRDefault="00685C6C" w:rsidP="00685C6C">
      <w:pPr>
        <w:pStyle w:val="Akapitzlist"/>
        <w:numPr>
          <w:ilvl w:val="1"/>
          <w:numId w:val="2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przeprowadzana przez szpital analiza resuscytacji obejmuje liczbę interwencji;</w:t>
      </w:r>
    </w:p>
    <w:p w:rsidR="00685C6C" w:rsidRPr="0020723B" w:rsidRDefault="00685C6C" w:rsidP="00685C6C">
      <w:pPr>
        <w:pStyle w:val="Akapitzlist"/>
        <w:numPr>
          <w:ilvl w:val="1"/>
          <w:numId w:val="2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przeprowadzana przez szpital analiza resuscytacji obejmuje skuteczność interwencji;</w:t>
      </w:r>
    </w:p>
    <w:p w:rsidR="00685C6C" w:rsidRPr="0020723B" w:rsidRDefault="00685C6C" w:rsidP="00685C6C">
      <w:pPr>
        <w:pStyle w:val="Akapitzlist"/>
        <w:numPr>
          <w:ilvl w:val="1"/>
          <w:numId w:val="2"/>
        </w:numPr>
        <w:tabs>
          <w:tab w:val="left" w:pos="2182"/>
        </w:tabs>
        <w:spacing w:line="247" w:lineRule="auto"/>
        <w:ind w:left="2182" w:right="138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przeprowadzana przez szpital analiza resuscytacji obejmuje określenie przyczyny zatrzymania krążenia i oddychania;</w:t>
      </w:r>
    </w:p>
    <w:p w:rsidR="00685C6C" w:rsidRPr="0020723B" w:rsidRDefault="00685C6C" w:rsidP="00685C6C">
      <w:pPr>
        <w:pStyle w:val="Akapitzlist"/>
        <w:numPr>
          <w:ilvl w:val="1"/>
          <w:numId w:val="2"/>
        </w:numPr>
        <w:tabs>
          <w:tab w:val="left" w:pos="2182"/>
        </w:tabs>
        <w:spacing w:line="247" w:lineRule="auto"/>
        <w:ind w:left="2182" w:right="138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przeprowadzana przez szpital analiza resuscytacji obejmuje czas rozpoczęcia czynności resuscytacyjnych;</w:t>
      </w:r>
    </w:p>
    <w:p w:rsidR="00685C6C" w:rsidRPr="0020723B" w:rsidRDefault="00685C6C" w:rsidP="00685C6C">
      <w:pPr>
        <w:pStyle w:val="Akapitzlist"/>
        <w:numPr>
          <w:ilvl w:val="1"/>
          <w:numId w:val="2"/>
        </w:numPr>
        <w:tabs>
          <w:tab w:val="left" w:pos="2182"/>
        </w:tabs>
        <w:spacing w:line="247" w:lineRule="auto"/>
        <w:ind w:left="2182" w:right="14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lastRenderedPageBreak/>
        <w:t>przeprowadzana przez szpital analiza resuscytacji obejmuje zgodność postępowania z przyjętą Standardową Procedurą Postępowania w stanach nagłego zagrożenia życia;</w:t>
      </w:r>
    </w:p>
    <w:p w:rsidR="00685C6C" w:rsidRPr="0020723B" w:rsidRDefault="00685C6C" w:rsidP="00685C6C">
      <w:pPr>
        <w:pStyle w:val="Akapitzlist"/>
        <w:numPr>
          <w:ilvl w:val="1"/>
          <w:numId w:val="2"/>
        </w:numPr>
        <w:tabs>
          <w:tab w:val="left" w:pos="2182"/>
        </w:tabs>
        <w:spacing w:line="247" w:lineRule="auto"/>
        <w:ind w:left="2182"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przeprowadzana przez szpital analiza resuscytacji obejmuje ocenę postępowania personelu uczestniczącego w resuscytacji w oddziałach;</w:t>
      </w:r>
    </w:p>
    <w:p w:rsidR="00685C6C" w:rsidRPr="0020723B" w:rsidRDefault="00685C6C" w:rsidP="00685C6C">
      <w:pPr>
        <w:pStyle w:val="Akapitzlist"/>
        <w:numPr>
          <w:ilvl w:val="1"/>
          <w:numId w:val="2"/>
        </w:numPr>
        <w:tabs>
          <w:tab w:val="left" w:pos="2182"/>
        </w:tabs>
        <w:spacing w:line="247" w:lineRule="auto"/>
        <w:ind w:left="2182"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wyciąga wnioski z analizy resuscytacji, które dotyczą modyfikacji lub braku potrzeby zmiany Standardowej Procedury Postępowania;</w:t>
      </w:r>
    </w:p>
    <w:p w:rsidR="00685C6C" w:rsidRPr="0020723B" w:rsidRDefault="00685C6C" w:rsidP="00685C6C">
      <w:pPr>
        <w:pStyle w:val="Akapitzlist"/>
        <w:numPr>
          <w:ilvl w:val="1"/>
          <w:numId w:val="2"/>
        </w:numPr>
        <w:tabs>
          <w:tab w:val="left" w:pos="2182"/>
        </w:tabs>
        <w:spacing w:line="247" w:lineRule="auto"/>
        <w:ind w:left="2182" w:right="13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wyciąga wnioski z analizy resuscytacji, które dotyczą dostępności i funkcjonalności leków stosowanych w stanach zagrożenia życia;</w:t>
      </w:r>
    </w:p>
    <w:p w:rsidR="00685C6C" w:rsidRPr="0020723B" w:rsidRDefault="00685C6C" w:rsidP="00685C6C">
      <w:pPr>
        <w:pStyle w:val="Akapitzlist"/>
        <w:numPr>
          <w:ilvl w:val="1"/>
          <w:numId w:val="2"/>
        </w:numPr>
        <w:tabs>
          <w:tab w:val="left" w:pos="2182"/>
        </w:tabs>
        <w:spacing w:line="247" w:lineRule="auto"/>
        <w:ind w:left="2182" w:right="136" w:hanging="45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wyciąga wnioski z analizy resuscytacji, które dotyczą dostępności i funkcjonalności sprzętu i materiałów stosowanych w stanach zagrożenia życia;</w:t>
      </w:r>
    </w:p>
    <w:p w:rsidR="00685C6C" w:rsidRPr="0020723B" w:rsidRDefault="00685C6C" w:rsidP="00685C6C">
      <w:pPr>
        <w:pStyle w:val="Akapitzlist"/>
        <w:numPr>
          <w:ilvl w:val="1"/>
          <w:numId w:val="2"/>
        </w:numPr>
        <w:tabs>
          <w:tab w:val="left" w:pos="2182"/>
        </w:tabs>
        <w:spacing w:line="231" w:lineRule="exact"/>
        <w:ind w:left="2182" w:hanging="45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wyciąga wnioski z analizy resuscytacji, które dotyczą działań edukacyjnych;</w:t>
      </w:r>
    </w:p>
    <w:p w:rsidR="00685C6C" w:rsidRPr="0020723B" w:rsidRDefault="00685C6C" w:rsidP="00685C6C">
      <w:pPr>
        <w:pStyle w:val="Akapitzlist"/>
        <w:numPr>
          <w:ilvl w:val="1"/>
          <w:numId w:val="2"/>
        </w:numPr>
        <w:tabs>
          <w:tab w:val="left" w:pos="2182"/>
        </w:tabs>
        <w:ind w:left="2182" w:hanging="45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wnioski z analizy prezentowane są personelowi;</w:t>
      </w:r>
    </w:p>
    <w:p w:rsidR="00685C6C" w:rsidRPr="0020723B" w:rsidRDefault="00685C6C" w:rsidP="00685C6C">
      <w:pPr>
        <w:pStyle w:val="Akapitzlist"/>
        <w:numPr>
          <w:ilvl w:val="1"/>
          <w:numId w:val="2"/>
        </w:numPr>
        <w:tabs>
          <w:tab w:val="left" w:pos="2182"/>
        </w:tabs>
        <w:spacing w:line="247" w:lineRule="auto"/>
        <w:ind w:left="2182" w:right="137" w:hanging="455"/>
        <w:rPr>
          <w:rFonts w:ascii="Calibri" w:hAnsi="Calibri" w:cs="Arial"/>
          <w:szCs w:val="20"/>
        </w:rPr>
      </w:pPr>
      <w:proofErr w:type="spellStart"/>
      <w:r w:rsidRPr="0020723B">
        <w:rPr>
          <w:rFonts w:ascii="Calibri" w:hAnsi="Calibri" w:cs="Arial"/>
          <w:szCs w:val="20"/>
        </w:rPr>
        <w:t>zanonimizowane</w:t>
      </w:r>
      <w:proofErr w:type="spellEnd"/>
      <w:r w:rsidRPr="0020723B">
        <w:rPr>
          <w:rFonts w:ascii="Calibri" w:hAnsi="Calibri" w:cs="Arial"/>
          <w:szCs w:val="20"/>
        </w:rPr>
        <w:t xml:space="preserve"> wnioski stanowią materiał pomocniczy w trakcie szkolenia z resuscytacji krążeniowo-oddechowej.</w:t>
      </w:r>
    </w:p>
    <w:p w:rsidR="00685C6C" w:rsidRPr="0020723B" w:rsidRDefault="00685C6C" w:rsidP="00685C6C">
      <w:pPr>
        <w:pStyle w:val="Tekstpodstawowy"/>
        <w:spacing w:before="171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8 kamieni milowych.</w:t>
      </w:r>
    </w:p>
    <w:p w:rsidR="00685C6C" w:rsidRPr="0020723B" w:rsidRDefault="00685C6C" w:rsidP="00685C6C">
      <w:pPr>
        <w:pStyle w:val="Tekstpodstawowy"/>
        <w:spacing w:before="3"/>
        <w:rPr>
          <w:rFonts w:ascii="Calibri" w:hAnsi="Calibri" w:cs="Arial"/>
          <w:sz w:val="22"/>
        </w:rPr>
      </w:pPr>
    </w:p>
    <w:p w:rsidR="00685C6C" w:rsidRPr="0020723B" w:rsidRDefault="00685C6C" w:rsidP="00685C6C">
      <w:pPr>
        <w:pStyle w:val="Heading9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27D73" w:rsidRDefault="00685C6C"/>
    <w:sectPr w:rsidR="00427D73" w:rsidSect="003C59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E91981"/>
    <w:multiLevelType w:val="hybridMultilevel"/>
    <w:tmpl w:val="2ED2BDDA"/>
    <w:lvl w:ilvl="0" w:tplc="D7F8D0F8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6A022EA4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A2729320">
      <w:numFmt w:val="bullet"/>
      <w:lvlText w:val="•"/>
      <w:lvlJc w:val="left"/>
      <w:pPr>
        <w:ind w:left="2180" w:hanging="344"/>
      </w:pPr>
      <w:rPr>
        <w:rFonts w:hint="default"/>
        <w:lang w:val="pl-PL" w:eastAsia="en-US" w:bidi="ar-SA"/>
      </w:rPr>
    </w:lvl>
    <w:lvl w:ilvl="3" w:tplc="9FCC00F2">
      <w:numFmt w:val="bullet"/>
      <w:lvlText w:val="•"/>
      <w:lvlJc w:val="left"/>
      <w:pPr>
        <w:ind w:left="3147" w:hanging="344"/>
      </w:pPr>
      <w:rPr>
        <w:rFonts w:hint="default"/>
        <w:lang w:val="pl-PL" w:eastAsia="en-US" w:bidi="ar-SA"/>
      </w:rPr>
    </w:lvl>
    <w:lvl w:ilvl="4" w:tplc="9A7E4402">
      <w:numFmt w:val="bullet"/>
      <w:lvlText w:val="•"/>
      <w:lvlJc w:val="left"/>
      <w:pPr>
        <w:ind w:left="4115" w:hanging="344"/>
      </w:pPr>
      <w:rPr>
        <w:rFonts w:hint="default"/>
        <w:lang w:val="pl-PL" w:eastAsia="en-US" w:bidi="ar-SA"/>
      </w:rPr>
    </w:lvl>
    <w:lvl w:ilvl="5" w:tplc="8AA439A0">
      <w:numFmt w:val="bullet"/>
      <w:lvlText w:val="•"/>
      <w:lvlJc w:val="left"/>
      <w:pPr>
        <w:ind w:left="5083" w:hanging="344"/>
      </w:pPr>
      <w:rPr>
        <w:rFonts w:hint="default"/>
        <w:lang w:val="pl-PL" w:eastAsia="en-US" w:bidi="ar-SA"/>
      </w:rPr>
    </w:lvl>
    <w:lvl w:ilvl="6" w:tplc="1F4620DC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7" w:tplc="FF26EFCA">
      <w:numFmt w:val="bullet"/>
      <w:lvlText w:val="•"/>
      <w:lvlJc w:val="left"/>
      <w:pPr>
        <w:ind w:left="7018" w:hanging="344"/>
      </w:pPr>
      <w:rPr>
        <w:rFonts w:hint="default"/>
        <w:lang w:val="pl-PL" w:eastAsia="en-US" w:bidi="ar-SA"/>
      </w:rPr>
    </w:lvl>
    <w:lvl w:ilvl="8" w:tplc="A776CFF2">
      <w:numFmt w:val="bullet"/>
      <w:lvlText w:val="•"/>
      <w:lvlJc w:val="left"/>
      <w:pPr>
        <w:ind w:left="7986" w:hanging="344"/>
      </w:pPr>
      <w:rPr>
        <w:rFonts w:hint="default"/>
        <w:lang w:val="pl-PL" w:eastAsia="en-US" w:bidi="ar-SA"/>
      </w:rPr>
    </w:lvl>
  </w:abstractNum>
  <w:abstractNum w:abstractNumId="1">
    <w:nsid w:val="23FD6B3E"/>
    <w:multiLevelType w:val="hybridMultilevel"/>
    <w:tmpl w:val="06983280"/>
    <w:lvl w:ilvl="0" w:tplc="B6740500">
      <w:start w:val="1"/>
      <w:numFmt w:val="decimal"/>
      <w:lvlText w:val="%1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40F08E1E">
      <w:numFmt w:val="bullet"/>
      <w:lvlText w:val="•"/>
      <w:lvlJc w:val="left"/>
      <w:pPr>
        <w:ind w:left="2450" w:hanging="344"/>
      </w:pPr>
      <w:rPr>
        <w:rFonts w:hint="default"/>
        <w:lang w:val="pl-PL" w:eastAsia="en-US" w:bidi="ar-SA"/>
      </w:rPr>
    </w:lvl>
    <w:lvl w:ilvl="2" w:tplc="B11AD3D4">
      <w:numFmt w:val="bullet"/>
      <w:lvlText w:val="•"/>
      <w:lvlJc w:val="left"/>
      <w:pPr>
        <w:ind w:left="3280" w:hanging="344"/>
      </w:pPr>
      <w:rPr>
        <w:rFonts w:hint="default"/>
        <w:lang w:val="pl-PL" w:eastAsia="en-US" w:bidi="ar-SA"/>
      </w:rPr>
    </w:lvl>
    <w:lvl w:ilvl="3" w:tplc="1862F0E8">
      <w:numFmt w:val="bullet"/>
      <w:lvlText w:val="•"/>
      <w:lvlJc w:val="left"/>
      <w:pPr>
        <w:ind w:left="4110" w:hanging="344"/>
      </w:pPr>
      <w:rPr>
        <w:rFonts w:hint="default"/>
        <w:lang w:val="pl-PL" w:eastAsia="en-US" w:bidi="ar-SA"/>
      </w:rPr>
    </w:lvl>
    <w:lvl w:ilvl="4" w:tplc="B08EB9F8">
      <w:numFmt w:val="bullet"/>
      <w:lvlText w:val="•"/>
      <w:lvlJc w:val="left"/>
      <w:pPr>
        <w:ind w:left="4940" w:hanging="344"/>
      </w:pPr>
      <w:rPr>
        <w:rFonts w:hint="default"/>
        <w:lang w:val="pl-PL" w:eastAsia="en-US" w:bidi="ar-SA"/>
      </w:rPr>
    </w:lvl>
    <w:lvl w:ilvl="5" w:tplc="0A70BC2E">
      <w:numFmt w:val="bullet"/>
      <w:lvlText w:val="•"/>
      <w:lvlJc w:val="left"/>
      <w:pPr>
        <w:ind w:left="5770" w:hanging="344"/>
      </w:pPr>
      <w:rPr>
        <w:rFonts w:hint="default"/>
        <w:lang w:val="pl-PL" w:eastAsia="en-US" w:bidi="ar-SA"/>
      </w:rPr>
    </w:lvl>
    <w:lvl w:ilvl="6" w:tplc="E250ACAC">
      <w:numFmt w:val="bullet"/>
      <w:lvlText w:val="•"/>
      <w:lvlJc w:val="left"/>
      <w:pPr>
        <w:ind w:left="6600" w:hanging="344"/>
      </w:pPr>
      <w:rPr>
        <w:rFonts w:hint="default"/>
        <w:lang w:val="pl-PL" w:eastAsia="en-US" w:bidi="ar-SA"/>
      </w:rPr>
    </w:lvl>
    <w:lvl w:ilvl="7" w:tplc="DCB82D38">
      <w:numFmt w:val="bullet"/>
      <w:lvlText w:val="•"/>
      <w:lvlJc w:val="left"/>
      <w:pPr>
        <w:ind w:left="7431" w:hanging="344"/>
      </w:pPr>
      <w:rPr>
        <w:rFonts w:hint="default"/>
        <w:lang w:val="pl-PL" w:eastAsia="en-US" w:bidi="ar-SA"/>
      </w:rPr>
    </w:lvl>
    <w:lvl w:ilvl="8" w:tplc="32C07B7E">
      <w:numFmt w:val="bullet"/>
      <w:lvlText w:val="•"/>
      <w:lvlJc w:val="left"/>
      <w:pPr>
        <w:ind w:left="8261" w:hanging="344"/>
      </w:pPr>
      <w:rPr>
        <w:rFonts w:hint="default"/>
        <w:lang w:val="pl-PL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685C6C"/>
    <w:rsid w:val="000745AD"/>
    <w:rsid w:val="003C5944"/>
    <w:rsid w:val="00682510"/>
    <w:rsid w:val="00685C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685C6C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685C6C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685C6C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685C6C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685C6C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685C6C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685C6C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422</Words>
  <Characters>2538</Characters>
  <Application>Microsoft Office Word</Application>
  <DocSecurity>0</DocSecurity>
  <Lines>21</Lines>
  <Paragraphs>5</Paragraphs>
  <ScaleCrop>false</ScaleCrop>
  <Company/>
  <LinksUpToDate>false</LinksUpToDate>
  <CharactersWithSpaces>2955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2025-07-07T10:35:00Z</dcterms:created>
  <dcterms:modified xsi:type="dcterms:W3CDTF">2025-07-07T10:35:00Z</dcterms:modified>
</cp:coreProperties>
</file>