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04" w:rsidRDefault="00827644" w:rsidP="00C325E0">
      <w:pPr>
        <w:pStyle w:val="Ttulo1"/>
        <w:spacing w:before="0"/>
        <w:jc w:val="both"/>
        <w:rPr>
          <w:rFonts w:ascii="Calibri Light" w:hAnsi="Calibri Light"/>
          <w:sz w:val="24"/>
          <w:szCs w:val="24"/>
        </w:rPr>
      </w:pPr>
      <w:r>
        <w:rPr>
          <w:rFonts w:ascii="Calibri Light" w:hAnsi="Calibri Light"/>
          <w:sz w:val="24"/>
          <w:szCs w:val="24"/>
        </w:rPr>
        <w:t>Acciones implementadas durante contingencia COVID-2019</w:t>
      </w:r>
    </w:p>
    <w:p w:rsidR="0013005B" w:rsidRDefault="0013005B" w:rsidP="0013005B">
      <w:pPr>
        <w:jc w:val="both"/>
        <w:rPr>
          <w:rFonts w:ascii="Calibri Light" w:eastAsiaTheme="minorEastAsia" w:hAnsi="Calibri Light"/>
          <w:color w:val="000000" w:themeColor="text1"/>
          <w:kern w:val="24"/>
          <w:sz w:val="20"/>
          <w:szCs w:val="20"/>
        </w:rPr>
      </w:pPr>
    </w:p>
    <w:p w:rsidR="009409BD" w:rsidRPr="00827644" w:rsidRDefault="009409BD" w:rsidP="009409BD">
      <w:pPr>
        <w:jc w:val="both"/>
        <w:rPr>
          <w:rFonts w:ascii="Calibri Light" w:eastAsiaTheme="minorEastAsia" w:hAnsi="Calibri Light"/>
          <w:color w:val="000000" w:themeColor="text1"/>
          <w:kern w:val="24"/>
          <w:sz w:val="24"/>
          <w:szCs w:val="24"/>
        </w:rPr>
      </w:pPr>
      <w:r w:rsidRPr="00BD0077">
        <w:rPr>
          <w:rFonts w:ascii="Calibri Light" w:eastAsiaTheme="minorEastAsia" w:hAnsi="Calibri Light"/>
          <w:color w:val="000000" w:themeColor="text1"/>
          <w:kern w:val="24"/>
          <w:sz w:val="24"/>
          <w:szCs w:val="24"/>
        </w:rPr>
        <w:t>La Coordinación de Planeación durante la contingencia trabajó en el análisis de las metas programadas para el ejercicio fiscal 2020, ante el acuerdo del Consejo del Poder Judicial de la suspensión de actividades y plazos de las áreas  jurisdiccionales, es que se reprogramó las cantidades en metas de las áreas sustantivas: 7 entregables a nivel componente; 18 entregables a nivel proceso y 31 entregables para los procesos de gestión correspondientes  a las áreas adjetivas en el Sistema de Evaluación al Desempeño (SED).</w:t>
      </w:r>
    </w:p>
    <w:p w:rsidR="0013005B" w:rsidRPr="00E76323" w:rsidRDefault="006B296C" w:rsidP="00E76323">
      <w:pPr>
        <w:jc w:val="center"/>
        <w:rPr>
          <w:rFonts w:ascii="Calibri Light" w:eastAsiaTheme="minorEastAsia" w:hAnsi="Calibri Light"/>
          <w:b/>
          <w:i/>
          <w:color w:val="000000" w:themeColor="text1"/>
          <w:kern w:val="24"/>
          <w:sz w:val="32"/>
          <w:szCs w:val="32"/>
        </w:rPr>
      </w:pPr>
      <w:r w:rsidRPr="00E76323">
        <w:rPr>
          <w:rFonts w:ascii="Calibri Light" w:eastAsiaTheme="minorEastAsia" w:hAnsi="Calibri Light"/>
          <w:b/>
          <w:i/>
          <w:color w:val="000000" w:themeColor="text1"/>
          <w:kern w:val="24"/>
          <w:sz w:val="32"/>
          <w:szCs w:val="32"/>
        </w:rPr>
        <w:t>Áreas Sustantivas</w:t>
      </w:r>
    </w:p>
    <w:p w:rsidR="009409BD" w:rsidRDefault="009409BD" w:rsidP="0013005B">
      <w:pPr>
        <w:jc w:val="both"/>
        <w:rPr>
          <w:rFonts w:ascii="Calibri Light" w:eastAsiaTheme="minorEastAsia" w:hAnsi="Calibri Light"/>
          <w:b/>
          <w:i/>
          <w:color w:val="000000" w:themeColor="text1"/>
          <w:kern w:val="24"/>
          <w:sz w:val="24"/>
          <w:szCs w:val="24"/>
        </w:rPr>
      </w:pPr>
    </w:p>
    <w:p w:rsidR="006B296C" w:rsidRPr="00E76323" w:rsidRDefault="0016365F" w:rsidP="0013005B">
      <w:pPr>
        <w:jc w:val="both"/>
        <w:rPr>
          <w:rFonts w:ascii="Calibri Light" w:eastAsiaTheme="minorEastAsia" w:hAnsi="Calibri Light"/>
          <w:b/>
          <w:i/>
          <w:color w:val="000000" w:themeColor="text1"/>
          <w:kern w:val="24"/>
          <w:sz w:val="24"/>
          <w:szCs w:val="24"/>
        </w:rPr>
      </w:pPr>
      <w:r>
        <w:rPr>
          <w:rFonts w:ascii="Calibri Light" w:eastAsiaTheme="minorEastAsia" w:hAnsi="Calibri Light"/>
          <w:b/>
          <w:i/>
          <w:color w:val="000000" w:themeColor="text1"/>
          <w:kern w:val="24"/>
          <w:sz w:val="24"/>
          <w:szCs w:val="24"/>
        </w:rPr>
        <w:t xml:space="preserve">AJUSTES EN </w:t>
      </w:r>
      <w:r w:rsidR="006B296C" w:rsidRPr="00E76323">
        <w:rPr>
          <w:rFonts w:ascii="Calibri Light" w:eastAsiaTheme="minorEastAsia" w:hAnsi="Calibri Light"/>
          <w:b/>
          <w:i/>
          <w:color w:val="000000" w:themeColor="text1"/>
          <w:kern w:val="24"/>
          <w:sz w:val="24"/>
          <w:szCs w:val="24"/>
        </w:rPr>
        <w:t>ENTREGABLES DE COMPONENTES</w:t>
      </w:r>
    </w:p>
    <w:tbl>
      <w:tblPr>
        <w:tblStyle w:val="Tablaconcuadrcula"/>
        <w:tblpPr w:leftFromText="141" w:rightFromText="141" w:vertAnchor="page" w:horzAnchor="margin" w:tblpY="6697"/>
        <w:tblW w:w="8642" w:type="dxa"/>
        <w:tblLook w:val="04A0" w:firstRow="1" w:lastRow="0" w:firstColumn="1" w:lastColumn="0" w:noHBand="0" w:noVBand="1"/>
      </w:tblPr>
      <w:tblGrid>
        <w:gridCol w:w="686"/>
        <w:gridCol w:w="1296"/>
        <w:gridCol w:w="1128"/>
        <w:gridCol w:w="2428"/>
        <w:gridCol w:w="1355"/>
        <w:gridCol w:w="1749"/>
      </w:tblGrid>
      <w:tr w:rsidR="006B296C" w:rsidTr="006B296C">
        <w:trPr>
          <w:trHeight w:val="271"/>
        </w:trPr>
        <w:tc>
          <w:tcPr>
            <w:tcW w:w="686" w:type="dxa"/>
            <w:shd w:val="clear" w:color="auto" w:fill="91DEFB" w:themeFill="accent3" w:themeFillTint="66"/>
          </w:tcPr>
          <w:p w:rsidR="006B296C" w:rsidRPr="009C2358" w:rsidRDefault="006B296C" w:rsidP="006B296C">
            <w:pPr>
              <w:jc w:val="center"/>
              <w:rPr>
                <w:b/>
              </w:rPr>
            </w:pPr>
            <w:r w:rsidRPr="009C2358">
              <w:rPr>
                <w:b/>
              </w:rPr>
              <w:t>ID</w:t>
            </w:r>
          </w:p>
        </w:tc>
        <w:tc>
          <w:tcPr>
            <w:tcW w:w="1296" w:type="dxa"/>
            <w:shd w:val="clear" w:color="auto" w:fill="91DEFB" w:themeFill="accent3" w:themeFillTint="66"/>
          </w:tcPr>
          <w:p w:rsidR="006B296C" w:rsidRPr="009C2358" w:rsidRDefault="006B296C" w:rsidP="006B296C">
            <w:pPr>
              <w:jc w:val="center"/>
              <w:rPr>
                <w:b/>
              </w:rPr>
            </w:pPr>
            <w:r w:rsidRPr="009C2358">
              <w:rPr>
                <w:b/>
              </w:rPr>
              <w:t>NIVEL</w:t>
            </w:r>
          </w:p>
        </w:tc>
        <w:tc>
          <w:tcPr>
            <w:tcW w:w="1128" w:type="dxa"/>
            <w:shd w:val="clear" w:color="auto" w:fill="91DEFB" w:themeFill="accent3" w:themeFillTint="66"/>
          </w:tcPr>
          <w:p w:rsidR="006B296C" w:rsidRPr="009C2358" w:rsidRDefault="006B296C" w:rsidP="006B296C">
            <w:pPr>
              <w:jc w:val="center"/>
              <w:rPr>
                <w:b/>
              </w:rPr>
            </w:pPr>
            <w:r w:rsidRPr="009C2358">
              <w:rPr>
                <w:b/>
              </w:rPr>
              <w:t>TIPO</w:t>
            </w:r>
          </w:p>
        </w:tc>
        <w:tc>
          <w:tcPr>
            <w:tcW w:w="2428" w:type="dxa"/>
            <w:shd w:val="clear" w:color="auto" w:fill="91DEFB" w:themeFill="accent3" w:themeFillTint="66"/>
          </w:tcPr>
          <w:p w:rsidR="006B296C" w:rsidRPr="009C2358" w:rsidRDefault="006B296C" w:rsidP="006B296C">
            <w:pPr>
              <w:jc w:val="center"/>
              <w:rPr>
                <w:b/>
              </w:rPr>
            </w:pPr>
            <w:r>
              <w:rPr>
                <w:b/>
              </w:rPr>
              <w:t>NOMBRE DEL ENTREGABLE</w:t>
            </w:r>
          </w:p>
        </w:tc>
        <w:tc>
          <w:tcPr>
            <w:tcW w:w="1355" w:type="dxa"/>
            <w:shd w:val="clear" w:color="auto" w:fill="91DEFB" w:themeFill="accent3" w:themeFillTint="66"/>
          </w:tcPr>
          <w:p w:rsidR="006B296C" w:rsidRDefault="006B296C" w:rsidP="006B296C">
            <w:pPr>
              <w:jc w:val="center"/>
              <w:rPr>
                <w:b/>
              </w:rPr>
            </w:pPr>
            <w:r>
              <w:rPr>
                <w:b/>
              </w:rPr>
              <w:t>Meta Programada</w:t>
            </w:r>
          </w:p>
        </w:tc>
        <w:tc>
          <w:tcPr>
            <w:tcW w:w="1749" w:type="dxa"/>
            <w:shd w:val="clear" w:color="auto" w:fill="91DEFB" w:themeFill="accent3" w:themeFillTint="66"/>
          </w:tcPr>
          <w:p w:rsidR="006B296C" w:rsidRDefault="006B296C" w:rsidP="006B296C">
            <w:pPr>
              <w:jc w:val="center"/>
              <w:rPr>
                <w:b/>
              </w:rPr>
            </w:pPr>
            <w:r>
              <w:rPr>
                <w:b/>
              </w:rPr>
              <w:t>Meta Modificada COVID-2019</w:t>
            </w:r>
          </w:p>
        </w:tc>
      </w:tr>
      <w:tr w:rsidR="006B296C" w:rsidTr="006B296C">
        <w:trPr>
          <w:trHeight w:val="246"/>
        </w:trPr>
        <w:tc>
          <w:tcPr>
            <w:tcW w:w="686" w:type="dxa"/>
          </w:tcPr>
          <w:p w:rsidR="006B296C" w:rsidRPr="00C62863" w:rsidRDefault="006B296C" w:rsidP="006B296C">
            <w:pPr>
              <w:jc w:val="center"/>
              <w:rPr>
                <w:sz w:val="20"/>
                <w:szCs w:val="20"/>
              </w:rPr>
            </w:pPr>
            <w:r w:rsidRPr="00C62863">
              <w:rPr>
                <w:rFonts w:cs="Helvetica"/>
                <w:color w:val="333333"/>
                <w:sz w:val="20"/>
                <w:szCs w:val="20"/>
                <w:shd w:val="clear" w:color="auto" w:fill="FFFFFF"/>
              </w:rPr>
              <w:t>1336</w:t>
            </w:r>
          </w:p>
        </w:tc>
        <w:tc>
          <w:tcPr>
            <w:tcW w:w="1296" w:type="dxa"/>
          </w:tcPr>
          <w:p w:rsidR="006B296C" w:rsidRPr="00C62863" w:rsidRDefault="006B296C" w:rsidP="006B296C">
            <w:pPr>
              <w:rPr>
                <w:sz w:val="20"/>
                <w:szCs w:val="20"/>
              </w:rPr>
            </w:pPr>
            <w:r w:rsidRPr="00C62863">
              <w:rPr>
                <w:sz w:val="20"/>
                <w:szCs w:val="20"/>
              </w:rPr>
              <w:t>Componente</w:t>
            </w:r>
          </w:p>
        </w:tc>
        <w:tc>
          <w:tcPr>
            <w:tcW w:w="1128" w:type="dxa"/>
          </w:tcPr>
          <w:p w:rsidR="006B296C" w:rsidRPr="00C62863" w:rsidRDefault="006B296C" w:rsidP="006B296C">
            <w:pPr>
              <w:rPr>
                <w:sz w:val="20"/>
                <w:szCs w:val="20"/>
              </w:rPr>
            </w:pPr>
            <w:r w:rsidRPr="00C62863">
              <w:rPr>
                <w:sz w:val="20"/>
                <w:szCs w:val="20"/>
              </w:rPr>
              <w:t>Entregable</w:t>
            </w:r>
          </w:p>
        </w:tc>
        <w:tc>
          <w:tcPr>
            <w:tcW w:w="2428" w:type="dxa"/>
          </w:tcPr>
          <w:p w:rsidR="006B296C" w:rsidRPr="00C62863" w:rsidRDefault="006B296C" w:rsidP="006B296C">
            <w:pPr>
              <w:rPr>
                <w:sz w:val="20"/>
                <w:szCs w:val="20"/>
              </w:rPr>
            </w:pPr>
            <w:r w:rsidRPr="00C62863">
              <w:rPr>
                <w:rFonts w:cs="Helvetica"/>
                <w:color w:val="444444"/>
                <w:sz w:val="20"/>
                <w:szCs w:val="20"/>
                <w:shd w:val="clear" w:color="auto" w:fill="FFFFFF"/>
              </w:rPr>
              <w:t>Acuerdos y sentencias en procesos judiciales de segunda instancia</w:t>
            </w:r>
          </w:p>
        </w:tc>
        <w:tc>
          <w:tcPr>
            <w:tcW w:w="1355" w:type="dxa"/>
          </w:tcPr>
          <w:p w:rsidR="006B296C" w:rsidRDefault="006B296C" w:rsidP="006B296C">
            <w:pPr>
              <w:jc w:val="center"/>
              <w:rPr>
                <w:rFonts w:cs="Helvetica"/>
                <w:color w:val="333333"/>
                <w:sz w:val="20"/>
                <w:szCs w:val="20"/>
                <w:shd w:val="clear" w:color="auto" w:fill="FFFFFF"/>
              </w:rPr>
            </w:pPr>
          </w:p>
          <w:p w:rsidR="006B296C" w:rsidRPr="00C62863" w:rsidRDefault="006B296C" w:rsidP="006B296C">
            <w:pPr>
              <w:jc w:val="center"/>
              <w:rPr>
                <w:rFonts w:cs="Helvetica"/>
                <w:color w:val="444444"/>
                <w:sz w:val="20"/>
                <w:szCs w:val="20"/>
                <w:shd w:val="clear" w:color="auto" w:fill="FFFFFF"/>
              </w:rPr>
            </w:pPr>
            <w:r w:rsidRPr="00C62863">
              <w:rPr>
                <w:rFonts w:cs="Helvetica"/>
                <w:color w:val="333333"/>
                <w:sz w:val="20"/>
                <w:szCs w:val="20"/>
                <w:shd w:val="clear" w:color="auto" w:fill="FFFFFF"/>
              </w:rPr>
              <w:t>121,296</w:t>
            </w:r>
          </w:p>
          <w:p w:rsidR="006B296C" w:rsidRPr="00C62863" w:rsidRDefault="006B296C" w:rsidP="006B296C">
            <w:pPr>
              <w:jc w:val="center"/>
              <w:rPr>
                <w:rFonts w:cs="Helvetica"/>
                <w:color w:val="444444"/>
                <w:sz w:val="20"/>
                <w:szCs w:val="20"/>
                <w:shd w:val="clear" w:color="auto" w:fill="FFFFFF"/>
              </w:rPr>
            </w:pPr>
          </w:p>
        </w:tc>
        <w:tc>
          <w:tcPr>
            <w:tcW w:w="1749" w:type="dxa"/>
          </w:tcPr>
          <w:p w:rsidR="006B296C" w:rsidRDefault="006B296C" w:rsidP="006B296C">
            <w:pPr>
              <w:jc w:val="center"/>
              <w:rPr>
                <w:rFonts w:cs="Helvetica"/>
                <w:color w:val="444444"/>
                <w:sz w:val="20"/>
                <w:szCs w:val="20"/>
                <w:shd w:val="clear" w:color="auto" w:fill="FFFFFF"/>
              </w:rPr>
            </w:pPr>
          </w:p>
          <w:p w:rsidR="006B296C" w:rsidRPr="00C62863" w:rsidRDefault="006B296C" w:rsidP="006B296C">
            <w:pPr>
              <w:jc w:val="center"/>
              <w:rPr>
                <w:rFonts w:cs="Helvetica"/>
                <w:color w:val="444444"/>
                <w:sz w:val="20"/>
                <w:szCs w:val="20"/>
                <w:shd w:val="clear" w:color="auto" w:fill="FFFFFF"/>
              </w:rPr>
            </w:pPr>
            <w:r w:rsidRPr="00C62863">
              <w:rPr>
                <w:rFonts w:cs="Helvetica"/>
                <w:color w:val="444444"/>
                <w:sz w:val="20"/>
                <w:szCs w:val="20"/>
                <w:shd w:val="clear" w:color="auto" w:fill="FFFFFF"/>
              </w:rPr>
              <w:t>99,550</w:t>
            </w:r>
          </w:p>
        </w:tc>
      </w:tr>
      <w:tr w:rsidR="006B296C" w:rsidTr="006B296C">
        <w:trPr>
          <w:trHeight w:val="259"/>
        </w:trPr>
        <w:tc>
          <w:tcPr>
            <w:tcW w:w="686" w:type="dxa"/>
          </w:tcPr>
          <w:p w:rsidR="006B296C" w:rsidRPr="00C62863" w:rsidRDefault="006B296C" w:rsidP="006B296C">
            <w:pPr>
              <w:rPr>
                <w:sz w:val="20"/>
                <w:szCs w:val="20"/>
              </w:rPr>
            </w:pPr>
            <w:r w:rsidRPr="00C62863">
              <w:rPr>
                <w:sz w:val="20"/>
                <w:szCs w:val="20"/>
              </w:rPr>
              <w:t>1337</w:t>
            </w:r>
          </w:p>
        </w:tc>
        <w:tc>
          <w:tcPr>
            <w:tcW w:w="1296" w:type="dxa"/>
          </w:tcPr>
          <w:p w:rsidR="006B296C" w:rsidRPr="00C62863" w:rsidRDefault="006B296C" w:rsidP="006B296C">
            <w:pPr>
              <w:rPr>
                <w:sz w:val="20"/>
                <w:szCs w:val="20"/>
              </w:rPr>
            </w:pPr>
            <w:r w:rsidRPr="00C62863">
              <w:rPr>
                <w:sz w:val="20"/>
                <w:szCs w:val="20"/>
              </w:rPr>
              <w:t>Componente</w:t>
            </w:r>
          </w:p>
        </w:tc>
        <w:tc>
          <w:tcPr>
            <w:tcW w:w="1128" w:type="dxa"/>
          </w:tcPr>
          <w:p w:rsidR="006B296C" w:rsidRPr="00C62863" w:rsidRDefault="006B296C" w:rsidP="006B296C">
            <w:pPr>
              <w:rPr>
                <w:sz w:val="20"/>
                <w:szCs w:val="20"/>
              </w:rPr>
            </w:pPr>
            <w:r w:rsidRPr="00C62863">
              <w:rPr>
                <w:sz w:val="20"/>
                <w:szCs w:val="20"/>
              </w:rPr>
              <w:t>Entregable</w:t>
            </w:r>
          </w:p>
        </w:tc>
        <w:tc>
          <w:tcPr>
            <w:tcW w:w="2428" w:type="dxa"/>
          </w:tcPr>
          <w:p w:rsidR="006B296C" w:rsidRPr="00C62863" w:rsidRDefault="006B296C" w:rsidP="006B296C">
            <w:pPr>
              <w:rPr>
                <w:sz w:val="20"/>
                <w:szCs w:val="20"/>
              </w:rPr>
            </w:pPr>
            <w:r w:rsidRPr="00C62863">
              <w:rPr>
                <w:rFonts w:cs="Helvetica"/>
                <w:color w:val="444444"/>
                <w:sz w:val="20"/>
                <w:szCs w:val="20"/>
                <w:shd w:val="clear" w:color="auto" w:fill="FFFFFF"/>
              </w:rPr>
              <w:t>Acuerdos y sentencias en procesos judiciales de primera instancia tradicional</w:t>
            </w:r>
          </w:p>
        </w:tc>
        <w:tc>
          <w:tcPr>
            <w:tcW w:w="1355" w:type="dxa"/>
          </w:tcPr>
          <w:p w:rsidR="006B296C" w:rsidRPr="00C62863" w:rsidRDefault="006B296C" w:rsidP="006B296C">
            <w:pPr>
              <w:jc w:val="center"/>
              <w:rPr>
                <w:rFonts w:cs="Helvetica"/>
                <w:color w:val="333333"/>
                <w:sz w:val="20"/>
                <w:szCs w:val="20"/>
                <w:shd w:val="clear" w:color="auto" w:fill="FFFFFF"/>
              </w:rPr>
            </w:pPr>
          </w:p>
          <w:p w:rsidR="006B296C" w:rsidRPr="00C62863" w:rsidRDefault="006B296C" w:rsidP="006B296C">
            <w:pPr>
              <w:jc w:val="center"/>
              <w:rPr>
                <w:rFonts w:cs="Helvetica"/>
                <w:color w:val="444444"/>
                <w:sz w:val="20"/>
                <w:szCs w:val="20"/>
                <w:shd w:val="clear" w:color="auto" w:fill="FFFFFF"/>
              </w:rPr>
            </w:pPr>
            <w:r w:rsidRPr="00C62863">
              <w:rPr>
                <w:rFonts w:cs="Helvetica"/>
                <w:color w:val="333333"/>
                <w:sz w:val="20"/>
                <w:szCs w:val="20"/>
                <w:shd w:val="clear" w:color="auto" w:fill="FFFFFF"/>
              </w:rPr>
              <w:t>1,400,680</w:t>
            </w:r>
          </w:p>
        </w:tc>
        <w:tc>
          <w:tcPr>
            <w:tcW w:w="1749" w:type="dxa"/>
          </w:tcPr>
          <w:p w:rsidR="006B296C" w:rsidRPr="00C62863" w:rsidRDefault="006B296C" w:rsidP="006B296C">
            <w:pPr>
              <w:jc w:val="center"/>
              <w:rPr>
                <w:rFonts w:cs="Helvetica"/>
                <w:color w:val="444444"/>
                <w:sz w:val="20"/>
                <w:szCs w:val="20"/>
                <w:shd w:val="clear" w:color="auto" w:fill="FFFFFF"/>
              </w:rPr>
            </w:pPr>
          </w:p>
          <w:p w:rsidR="006B296C" w:rsidRPr="00C62863" w:rsidRDefault="006B296C" w:rsidP="006B296C">
            <w:pPr>
              <w:jc w:val="center"/>
              <w:rPr>
                <w:rFonts w:cs="Helvetica"/>
                <w:color w:val="444444"/>
                <w:sz w:val="20"/>
                <w:szCs w:val="20"/>
                <w:shd w:val="clear" w:color="auto" w:fill="FFFFFF"/>
              </w:rPr>
            </w:pPr>
            <w:r w:rsidRPr="00C62863">
              <w:rPr>
                <w:rFonts w:cs="Helvetica"/>
                <w:color w:val="444444"/>
                <w:sz w:val="20"/>
                <w:szCs w:val="20"/>
                <w:shd w:val="clear" w:color="auto" w:fill="FFFFFF"/>
              </w:rPr>
              <w:t>1,159,054</w:t>
            </w:r>
          </w:p>
        </w:tc>
      </w:tr>
      <w:tr w:rsidR="006B296C" w:rsidTr="006B296C">
        <w:trPr>
          <w:trHeight w:val="246"/>
        </w:trPr>
        <w:tc>
          <w:tcPr>
            <w:tcW w:w="686" w:type="dxa"/>
          </w:tcPr>
          <w:p w:rsidR="006B296C" w:rsidRPr="00C62863" w:rsidRDefault="006B296C" w:rsidP="006B296C">
            <w:pPr>
              <w:rPr>
                <w:sz w:val="20"/>
                <w:szCs w:val="20"/>
              </w:rPr>
            </w:pPr>
            <w:r w:rsidRPr="00C62863">
              <w:rPr>
                <w:sz w:val="20"/>
                <w:szCs w:val="20"/>
              </w:rPr>
              <w:t>1338</w:t>
            </w:r>
          </w:p>
        </w:tc>
        <w:tc>
          <w:tcPr>
            <w:tcW w:w="1296" w:type="dxa"/>
          </w:tcPr>
          <w:p w:rsidR="006B296C" w:rsidRPr="00C62863" w:rsidRDefault="006B296C" w:rsidP="006B296C">
            <w:pPr>
              <w:rPr>
                <w:sz w:val="20"/>
                <w:szCs w:val="20"/>
              </w:rPr>
            </w:pPr>
            <w:r w:rsidRPr="00C62863">
              <w:rPr>
                <w:sz w:val="20"/>
                <w:szCs w:val="20"/>
              </w:rPr>
              <w:t>Componente</w:t>
            </w:r>
          </w:p>
        </w:tc>
        <w:tc>
          <w:tcPr>
            <w:tcW w:w="1128" w:type="dxa"/>
          </w:tcPr>
          <w:p w:rsidR="006B296C" w:rsidRPr="00C62863" w:rsidRDefault="006B296C" w:rsidP="006B296C">
            <w:pPr>
              <w:rPr>
                <w:sz w:val="20"/>
                <w:szCs w:val="20"/>
              </w:rPr>
            </w:pPr>
            <w:r w:rsidRPr="00C62863">
              <w:rPr>
                <w:sz w:val="20"/>
                <w:szCs w:val="20"/>
              </w:rPr>
              <w:t>Entregable</w:t>
            </w:r>
          </w:p>
        </w:tc>
        <w:tc>
          <w:tcPr>
            <w:tcW w:w="2428" w:type="dxa"/>
          </w:tcPr>
          <w:p w:rsidR="006B296C" w:rsidRPr="00C62863" w:rsidRDefault="006B296C" w:rsidP="006B296C">
            <w:pPr>
              <w:rPr>
                <w:sz w:val="20"/>
                <w:szCs w:val="20"/>
              </w:rPr>
            </w:pPr>
            <w:r w:rsidRPr="00C62863">
              <w:rPr>
                <w:rFonts w:cs="Helvetica"/>
                <w:color w:val="444444"/>
                <w:sz w:val="20"/>
                <w:szCs w:val="20"/>
                <w:shd w:val="clear" w:color="auto" w:fill="FFFFFF"/>
              </w:rPr>
              <w:t>Resoluciones en procesos judiciales de primera instancia oral</w:t>
            </w:r>
          </w:p>
        </w:tc>
        <w:tc>
          <w:tcPr>
            <w:tcW w:w="1355" w:type="dxa"/>
          </w:tcPr>
          <w:p w:rsidR="006B296C" w:rsidRPr="00C62863" w:rsidRDefault="006B296C" w:rsidP="006B296C">
            <w:pPr>
              <w:jc w:val="center"/>
              <w:rPr>
                <w:rFonts w:cs="Helvetica"/>
                <w:color w:val="444444"/>
                <w:sz w:val="20"/>
                <w:szCs w:val="20"/>
                <w:shd w:val="clear" w:color="auto" w:fill="FFFFFF"/>
              </w:rPr>
            </w:pPr>
            <w:r w:rsidRPr="00C62863">
              <w:rPr>
                <w:rFonts w:cs="Helvetica"/>
                <w:color w:val="333333"/>
                <w:sz w:val="20"/>
                <w:szCs w:val="20"/>
                <w:shd w:val="clear" w:color="auto" w:fill="FFFFFF"/>
              </w:rPr>
              <w:t>394,738</w:t>
            </w:r>
          </w:p>
        </w:tc>
        <w:tc>
          <w:tcPr>
            <w:tcW w:w="1749" w:type="dxa"/>
          </w:tcPr>
          <w:p w:rsidR="006B296C" w:rsidRPr="00C62863" w:rsidRDefault="006B296C" w:rsidP="006B296C">
            <w:pPr>
              <w:jc w:val="center"/>
              <w:rPr>
                <w:rFonts w:cs="Helvetica"/>
                <w:color w:val="444444"/>
                <w:sz w:val="20"/>
                <w:szCs w:val="20"/>
                <w:shd w:val="clear" w:color="auto" w:fill="FFFFFF"/>
              </w:rPr>
            </w:pPr>
            <w:r w:rsidRPr="00C62863">
              <w:rPr>
                <w:rFonts w:cs="Helvetica"/>
                <w:color w:val="444444"/>
                <w:sz w:val="20"/>
                <w:szCs w:val="20"/>
                <w:shd w:val="clear" w:color="auto" w:fill="FFFFFF"/>
              </w:rPr>
              <w:t>322,456</w:t>
            </w:r>
          </w:p>
        </w:tc>
      </w:tr>
      <w:tr w:rsidR="006B296C" w:rsidTr="006B296C">
        <w:trPr>
          <w:trHeight w:val="246"/>
        </w:trPr>
        <w:tc>
          <w:tcPr>
            <w:tcW w:w="686" w:type="dxa"/>
          </w:tcPr>
          <w:p w:rsidR="006B296C" w:rsidRPr="00C62863" w:rsidRDefault="006B296C" w:rsidP="006B296C">
            <w:pPr>
              <w:rPr>
                <w:sz w:val="20"/>
                <w:szCs w:val="20"/>
              </w:rPr>
            </w:pPr>
            <w:r w:rsidRPr="00C62863">
              <w:rPr>
                <w:sz w:val="20"/>
                <w:szCs w:val="20"/>
              </w:rPr>
              <w:t>1339</w:t>
            </w:r>
          </w:p>
        </w:tc>
        <w:tc>
          <w:tcPr>
            <w:tcW w:w="1296" w:type="dxa"/>
          </w:tcPr>
          <w:p w:rsidR="006B296C" w:rsidRPr="00C62863" w:rsidRDefault="006B296C" w:rsidP="006B296C">
            <w:pPr>
              <w:rPr>
                <w:sz w:val="20"/>
                <w:szCs w:val="20"/>
              </w:rPr>
            </w:pPr>
            <w:r w:rsidRPr="00C62863">
              <w:rPr>
                <w:sz w:val="20"/>
                <w:szCs w:val="20"/>
              </w:rPr>
              <w:t>Componente</w:t>
            </w:r>
          </w:p>
        </w:tc>
        <w:tc>
          <w:tcPr>
            <w:tcW w:w="1128" w:type="dxa"/>
          </w:tcPr>
          <w:p w:rsidR="006B296C" w:rsidRPr="00C62863" w:rsidRDefault="006B296C" w:rsidP="006B296C">
            <w:pPr>
              <w:rPr>
                <w:sz w:val="20"/>
                <w:szCs w:val="20"/>
              </w:rPr>
            </w:pPr>
            <w:r w:rsidRPr="00C62863">
              <w:rPr>
                <w:sz w:val="20"/>
                <w:szCs w:val="20"/>
              </w:rPr>
              <w:t>Entregable</w:t>
            </w:r>
          </w:p>
        </w:tc>
        <w:tc>
          <w:tcPr>
            <w:tcW w:w="2428" w:type="dxa"/>
          </w:tcPr>
          <w:p w:rsidR="006B296C" w:rsidRPr="00C62863" w:rsidRDefault="006B296C" w:rsidP="006B296C">
            <w:pPr>
              <w:rPr>
                <w:sz w:val="20"/>
                <w:szCs w:val="20"/>
              </w:rPr>
            </w:pPr>
            <w:r w:rsidRPr="00C62863">
              <w:rPr>
                <w:rFonts w:cs="Helvetica"/>
                <w:color w:val="444444"/>
                <w:sz w:val="20"/>
                <w:szCs w:val="20"/>
                <w:shd w:val="clear" w:color="auto" w:fill="FFFFFF"/>
              </w:rPr>
              <w:t>Autos, acuerdos y resoluciones incidentales en ejecución de sanciones penales</w:t>
            </w:r>
          </w:p>
        </w:tc>
        <w:tc>
          <w:tcPr>
            <w:tcW w:w="1355" w:type="dxa"/>
          </w:tcPr>
          <w:p w:rsidR="006B296C" w:rsidRPr="00C62863" w:rsidRDefault="006B296C" w:rsidP="006B296C">
            <w:pPr>
              <w:jc w:val="center"/>
              <w:rPr>
                <w:rFonts w:cs="Helvetica"/>
                <w:color w:val="444444"/>
                <w:sz w:val="20"/>
                <w:szCs w:val="20"/>
                <w:shd w:val="clear" w:color="auto" w:fill="FFFFFF"/>
              </w:rPr>
            </w:pPr>
          </w:p>
          <w:p w:rsidR="006B296C" w:rsidRPr="00C62863" w:rsidRDefault="006B296C" w:rsidP="006B296C">
            <w:pPr>
              <w:jc w:val="center"/>
              <w:rPr>
                <w:rFonts w:cs="Helvetica"/>
                <w:color w:val="444444"/>
                <w:sz w:val="20"/>
                <w:szCs w:val="20"/>
                <w:shd w:val="clear" w:color="auto" w:fill="FFFFFF"/>
              </w:rPr>
            </w:pPr>
            <w:r w:rsidRPr="00C62863">
              <w:rPr>
                <w:rFonts w:cs="Helvetica"/>
                <w:color w:val="444444"/>
                <w:sz w:val="20"/>
                <w:szCs w:val="20"/>
                <w:shd w:val="clear" w:color="auto" w:fill="FFFFFF"/>
              </w:rPr>
              <w:t>49,350</w:t>
            </w:r>
          </w:p>
        </w:tc>
        <w:tc>
          <w:tcPr>
            <w:tcW w:w="1749" w:type="dxa"/>
          </w:tcPr>
          <w:p w:rsidR="006B296C" w:rsidRPr="00C62863" w:rsidRDefault="006B296C" w:rsidP="006B296C">
            <w:pPr>
              <w:jc w:val="center"/>
              <w:rPr>
                <w:rFonts w:cs="Helvetica"/>
                <w:color w:val="444444"/>
                <w:sz w:val="20"/>
                <w:szCs w:val="20"/>
                <w:shd w:val="clear" w:color="auto" w:fill="FFFFFF"/>
              </w:rPr>
            </w:pPr>
          </w:p>
          <w:p w:rsidR="006B296C" w:rsidRPr="00C62863" w:rsidRDefault="006B296C" w:rsidP="006B296C">
            <w:pPr>
              <w:jc w:val="center"/>
              <w:rPr>
                <w:rFonts w:cs="Helvetica"/>
                <w:color w:val="444444"/>
                <w:sz w:val="20"/>
                <w:szCs w:val="20"/>
                <w:shd w:val="clear" w:color="auto" w:fill="FFFFFF"/>
              </w:rPr>
            </w:pPr>
            <w:r>
              <w:rPr>
                <w:rFonts w:cs="Helvetica"/>
                <w:color w:val="444444"/>
                <w:sz w:val="20"/>
                <w:szCs w:val="20"/>
                <w:shd w:val="clear" w:color="auto" w:fill="FFFFFF"/>
              </w:rPr>
              <w:t>40,300</w:t>
            </w:r>
          </w:p>
        </w:tc>
      </w:tr>
      <w:tr w:rsidR="006B296C" w:rsidTr="006B296C">
        <w:trPr>
          <w:trHeight w:val="246"/>
        </w:trPr>
        <w:tc>
          <w:tcPr>
            <w:tcW w:w="686" w:type="dxa"/>
            <w:vMerge w:val="restart"/>
          </w:tcPr>
          <w:p w:rsidR="006B296C" w:rsidRPr="00C62863" w:rsidRDefault="006B296C" w:rsidP="006B296C">
            <w:pPr>
              <w:rPr>
                <w:sz w:val="20"/>
                <w:szCs w:val="20"/>
              </w:rPr>
            </w:pPr>
          </w:p>
          <w:p w:rsidR="006B296C" w:rsidRPr="00C62863" w:rsidRDefault="006B296C" w:rsidP="006B296C">
            <w:pPr>
              <w:rPr>
                <w:sz w:val="20"/>
                <w:szCs w:val="20"/>
              </w:rPr>
            </w:pPr>
            <w:r w:rsidRPr="00C62863">
              <w:rPr>
                <w:sz w:val="20"/>
                <w:szCs w:val="20"/>
              </w:rPr>
              <w:t>1341</w:t>
            </w:r>
          </w:p>
        </w:tc>
        <w:tc>
          <w:tcPr>
            <w:tcW w:w="1296" w:type="dxa"/>
            <w:vMerge w:val="restart"/>
          </w:tcPr>
          <w:p w:rsidR="006B296C" w:rsidRPr="00C62863" w:rsidRDefault="006B296C" w:rsidP="006B296C">
            <w:pPr>
              <w:rPr>
                <w:sz w:val="20"/>
                <w:szCs w:val="20"/>
              </w:rPr>
            </w:pPr>
          </w:p>
          <w:p w:rsidR="006B296C" w:rsidRPr="00C62863" w:rsidRDefault="006B296C" w:rsidP="006B296C">
            <w:pPr>
              <w:rPr>
                <w:sz w:val="20"/>
                <w:szCs w:val="20"/>
              </w:rPr>
            </w:pPr>
            <w:r w:rsidRPr="00C62863">
              <w:rPr>
                <w:sz w:val="20"/>
                <w:szCs w:val="20"/>
              </w:rPr>
              <w:t>Componente</w:t>
            </w:r>
          </w:p>
        </w:tc>
        <w:tc>
          <w:tcPr>
            <w:tcW w:w="1128" w:type="dxa"/>
            <w:vMerge w:val="restart"/>
          </w:tcPr>
          <w:p w:rsidR="006B296C" w:rsidRPr="00C62863" w:rsidRDefault="006B296C" w:rsidP="006B296C">
            <w:pPr>
              <w:rPr>
                <w:sz w:val="20"/>
                <w:szCs w:val="20"/>
              </w:rPr>
            </w:pPr>
          </w:p>
          <w:p w:rsidR="006B296C" w:rsidRPr="00C62863" w:rsidRDefault="006B296C" w:rsidP="006B296C">
            <w:pPr>
              <w:rPr>
                <w:sz w:val="20"/>
                <w:szCs w:val="20"/>
              </w:rPr>
            </w:pPr>
            <w:r w:rsidRPr="00C62863">
              <w:rPr>
                <w:sz w:val="20"/>
                <w:szCs w:val="20"/>
              </w:rPr>
              <w:t>Entregable</w:t>
            </w:r>
          </w:p>
        </w:tc>
        <w:tc>
          <w:tcPr>
            <w:tcW w:w="2428" w:type="dxa"/>
          </w:tcPr>
          <w:p w:rsidR="006B296C" w:rsidRPr="00C62863" w:rsidRDefault="006B296C" w:rsidP="006B296C">
            <w:pPr>
              <w:rPr>
                <w:sz w:val="20"/>
                <w:szCs w:val="20"/>
              </w:rPr>
            </w:pPr>
            <w:r w:rsidRPr="00C62863">
              <w:rPr>
                <w:rFonts w:cs="Helvetica"/>
                <w:color w:val="444444"/>
                <w:sz w:val="20"/>
                <w:szCs w:val="20"/>
                <w:shd w:val="clear" w:color="auto" w:fill="FFFFFF"/>
              </w:rPr>
              <w:t>Atención de escritos y promociones</w:t>
            </w:r>
          </w:p>
        </w:tc>
        <w:tc>
          <w:tcPr>
            <w:tcW w:w="1355" w:type="dxa"/>
          </w:tcPr>
          <w:p w:rsidR="006B296C" w:rsidRPr="00C62863" w:rsidRDefault="006B296C" w:rsidP="006B296C">
            <w:pPr>
              <w:jc w:val="center"/>
              <w:rPr>
                <w:rFonts w:cs="Helvetica"/>
                <w:color w:val="444444"/>
                <w:sz w:val="20"/>
                <w:szCs w:val="20"/>
                <w:shd w:val="clear" w:color="auto" w:fill="FFFFFF"/>
              </w:rPr>
            </w:pPr>
            <w:r w:rsidRPr="00C62863">
              <w:rPr>
                <w:rFonts w:cs="Helvetica"/>
                <w:color w:val="333333"/>
                <w:sz w:val="20"/>
                <w:szCs w:val="20"/>
                <w:shd w:val="clear" w:color="auto" w:fill="FFFFFF"/>
              </w:rPr>
              <w:t>204,151</w:t>
            </w:r>
          </w:p>
        </w:tc>
        <w:tc>
          <w:tcPr>
            <w:tcW w:w="1749" w:type="dxa"/>
          </w:tcPr>
          <w:p w:rsidR="006B296C" w:rsidRPr="00C62863" w:rsidRDefault="006B296C" w:rsidP="006B296C">
            <w:pPr>
              <w:jc w:val="center"/>
              <w:rPr>
                <w:rFonts w:cs="Helvetica"/>
                <w:color w:val="444444"/>
                <w:sz w:val="20"/>
                <w:szCs w:val="20"/>
                <w:shd w:val="clear" w:color="auto" w:fill="FFFFFF"/>
              </w:rPr>
            </w:pPr>
            <w:r w:rsidRPr="00C62863">
              <w:rPr>
                <w:rFonts w:cs="Helvetica"/>
                <w:color w:val="444444"/>
                <w:sz w:val="20"/>
                <w:szCs w:val="20"/>
                <w:shd w:val="clear" w:color="auto" w:fill="FFFFFF"/>
              </w:rPr>
              <w:t>165,371</w:t>
            </w:r>
          </w:p>
        </w:tc>
      </w:tr>
      <w:tr w:rsidR="006B296C" w:rsidTr="006B296C">
        <w:trPr>
          <w:trHeight w:val="246"/>
        </w:trPr>
        <w:tc>
          <w:tcPr>
            <w:tcW w:w="686" w:type="dxa"/>
            <w:vMerge/>
          </w:tcPr>
          <w:p w:rsidR="006B296C" w:rsidRPr="00C62863" w:rsidRDefault="006B296C" w:rsidP="006B296C">
            <w:pPr>
              <w:rPr>
                <w:sz w:val="20"/>
                <w:szCs w:val="20"/>
              </w:rPr>
            </w:pPr>
          </w:p>
        </w:tc>
        <w:tc>
          <w:tcPr>
            <w:tcW w:w="1296" w:type="dxa"/>
            <w:vMerge/>
          </w:tcPr>
          <w:p w:rsidR="006B296C" w:rsidRPr="00C62863" w:rsidRDefault="006B296C" w:rsidP="006B296C">
            <w:pPr>
              <w:rPr>
                <w:sz w:val="20"/>
                <w:szCs w:val="20"/>
              </w:rPr>
            </w:pPr>
          </w:p>
        </w:tc>
        <w:tc>
          <w:tcPr>
            <w:tcW w:w="1128" w:type="dxa"/>
            <w:vMerge/>
          </w:tcPr>
          <w:p w:rsidR="006B296C" w:rsidRPr="00C62863" w:rsidRDefault="006B296C" w:rsidP="006B296C">
            <w:pPr>
              <w:rPr>
                <w:sz w:val="20"/>
                <w:szCs w:val="20"/>
              </w:rPr>
            </w:pPr>
          </w:p>
        </w:tc>
        <w:tc>
          <w:tcPr>
            <w:tcW w:w="2428" w:type="dxa"/>
          </w:tcPr>
          <w:p w:rsidR="006B296C" w:rsidRPr="00C62863" w:rsidRDefault="006B296C" w:rsidP="006B296C">
            <w:pPr>
              <w:rPr>
                <w:rFonts w:cs="Helvetica"/>
                <w:color w:val="444444"/>
                <w:sz w:val="20"/>
                <w:szCs w:val="20"/>
                <w:shd w:val="clear" w:color="auto" w:fill="FFFFFF"/>
              </w:rPr>
            </w:pPr>
            <w:r w:rsidRPr="00C62863">
              <w:rPr>
                <w:rFonts w:cs="Helvetica"/>
                <w:color w:val="333333"/>
                <w:sz w:val="20"/>
                <w:szCs w:val="20"/>
                <w:shd w:val="clear" w:color="auto" w:fill="FFFFFF"/>
              </w:rPr>
              <w:t>Atención de notificaciones</w:t>
            </w:r>
          </w:p>
        </w:tc>
        <w:tc>
          <w:tcPr>
            <w:tcW w:w="1355" w:type="dxa"/>
          </w:tcPr>
          <w:p w:rsidR="006B296C" w:rsidRPr="00C62863" w:rsidRDefault="006B296C" w:rsidP="006B296C">
            <w:pPr>
              <w:jc w:val="center"/>
              <w:rPr>
                <w:rFonts w:cs="Helvetica"/>
                <w:color w:val="444444"/>
                <w:sz w:val="20"/>
                <w:szCs w:val="20"/>
                <w:shd w:val="clear" w:color="auto" w:fill="FFFFFF"/>
              </w:rPr>
            </w:pPr>
            <w:r w:rsidRPr="00C62863">
              <w:rPr>
                <w:rFonts w:cs="Helvetica"/>
                <w:color w:val="333333"/>
                <w:sz w:val="20"/>
                <w:szCs w:val="20"/>
                <w:shd w:val="clear" w:color="auto" w:fill="FFFFFF"/>
              </w:rPr>
              <w:t>423,134</w:t>
            </w:r>
          </w:p>
        </w:tc>
        <w:tc>
          <w:tcPr>
            <w:tcW w:w="1749" w:type="dxa"/>
          </w:tcPr>
          <w:p w:rsidR="006B296C" w:rsidRPr="00C62863" w:rsidRDefault="006B296C" w:rsidP="006B296C">
            <w:pPr>
              <w:jc w:val="center"/>
              <w:rPr>
                <w:rFonts w:cs="Helvetica"/>
                <w:color w:val="444444"/>
                <w:sz w:val="20"/>
                <w:szCs w:val="20"/>
                <w:shd w:val="clear" w:color="auto" w:fill="FFFFFF"/>
              </w:rPr>
            </w:pPr>
            <w:r w:rsidRPr="00C62863">
              <w:rPr>
                <w:rFonts w:cs="Helvetica"/>
                <w:color w:val="444444"/>
                <w:sz w:val="20"/>
                <w:szCs w:val="20"/>
                <w:shd w:val="clear" w:color="auto" w:fill="FFFFFF"/>
              </w:rPr>
              <w:t>347,433</w:t>
            </w:r>
          </w:p>
        </w:tc>
      </w:tr>
      <w:tr w:rsidR="006B296C" w:rsidTr="006B296C">
        <w:trPr>
          <w:trHeight w:val="246"/>
        </w:trPr>
        <w:tc>
          <w:tcPr>
            <w:tcW w:w="686" w:type="dxa"/>
            <w:vMerge/>
          </w:tcPr>
          <w:p w:rsidR="006B296C" w:rsidRPr="00C62863" w:rsidRDefault="006B296C" w:rsidP="006B296C">
            <w:pPr>
              <w:rPr>
                <w:sz w:val="20"/>
                <w:szCs w:val="20"/>
              </w:rPr>
            </w:pPr>
          </w:p>
        </w:tc>
        <w:tc>
          <w:tcPr>
            <w:tcW w:w="1296" w:type="dxa"/>
            <w:vMerge/>
          </w:tcPr>
          <w:p w:rsidR="006B296C" w:rsidRPr="00C62863" w:rsidRDefault="006B296C" w:rsidP="006B296C">
            <w:pPr>
              <w:rPr>
                <w:sz w:val="20"/>
                <w:szCs w:val="20"/>
              </w:rPr>
            </w:pPr>
          </w:p>
        </w:tc>
        <w:tc>
          <w:tcPr>
            <w:tcW w:w="1128" w:type="dxa"/>
            <w:vMerge/>
          </w:tcPr>
          <w:p w:rsidR="006B296C" w:rsidRPr="00C62863" w:rsidRDefault="006B296C" w:rsidP="006B296C">
            <w:pPr>
              <w:rPr>
                <w:sz w:val="20"/>
                <w:szCs w:val="20"/>
              </w:rPr>
            </w:pPr>
          </w:p>
        </w:tc>
        <w:tc>
          <w:tcPr>
            <w:tcW w:w="2428" w:type="dxa"/>
          </w:tcPr>
          <w:p w:rsidR="006B296C" w:rsidRPr="00C62863" w:rsidRDefault="006B296C" w:rsidP="006B296C">
            <w:pPr>
              <w:rPr>
                <w:rFonts w:cs="Helvetica"/>
                <w:color w:val="444444"/>
                <w:sz w:val="20"/>
                <w:szCs w:val="20"/>
                <w:shd w:val="clear" w:color="auto" w:fill="FFFFFF"/>
              </w:rPr>
            </w:pPr>
            <w:r w:rsidRPr="00C62863">
              <w:rPr>
                <w:rFonts w:cs="Helvetica"/>
                <w:color w:val="333333"/>
                <w:sz w:val="20"/>
                <w:szCs w:val="20"/>
                <w:shd w:val="clear" w:color="auto" w:fill="FFFFFF"/>
              </w:rPr>
              <w:t>Atención de ejecuciones</w:t>
            </w:r>
          </w:p>
        </w:tc>
        <w:tc>
          <w:tcPr>
            <w:tcW w:w="1355" w:type="dxa"/>
          </w:tcPr>
          <w:p w:rsidR="006B296C" w:rsidRPr="00C62863" w:rsidRDefault="006B296C" w:rsidP="006B296C">
            <w:pPr>
              <w:jc w:val="center"/>
              <w:rPr>
                <w:rFonts w:cs="Helvetica"/>
                <w:color w:val="444444"/>
                <w:sz w:val="20"/>
                <w:szCs w:val="20"/>
                <w:shd w:val="clear" w:color="auto" w:fill="FFFFFF"/>
              </w:rPr>
            </w:pPr>
            <w:r w:rsidRPr="00C62863">
              <w:rPr>
                <w:rFonts w:cs="Helvetica"/>
                <w:color w:val="333333"/>
                <w:sz w:val="20"/>
                <w:szCs w:val="20"/>
                <w:shd w:val="clear" w:color="auto" w:fill="FFFFFF"/>
              </w:rPr>
              <w:t>196,035</w:t>
            </w:r>
          </w:p>
        </w:tc>
        <w:tc>
          <w:tcPr>
            <w:tcW w:w="1749" w:type="dxa"/>
          </w:tcPr>
          <w:p w:rsidR="006B296C" w:rsidRPr="00C62863" w:rsidRDefault="006B296C" w:rsidP="006B296C">
            <w:pPr>
              <w:jc w:val="center"/>
              <w:rPr>
                <w:rFonts w:cs="Helvetica"/>
                <w:color w:val="444444"/>
                <w:sz w:val="20"/>
                <w:szCs w:val="20"/>
                <w:shd w:val="clear" w:color="auto" w:fill="FFFFFF"/>
              </w:rPr>
            </w:pPr>
            <w:r w:rsidRPr="00C62863">
              <w:rPr>
                <w:rFonts w:cs="Helvetica"/>
                <w:color w:val="444444"/>
                <w:sz w:val="20"/>
                <w:szCs w:val="20"/>
                <w:shd w:val="clear" w:color="auto" w:fill="FFFFFF"/>
              </w:rPr>
              <w:t>160,516</w:t>
            </w:r>
          </w:p>
        </w:tc>
      </w:tr>
      <w:tr w:rsidR="006B296C" w:rsidTr="006B296C">
        <w:trPr>
          <w:trHeight w:val="246"/>
        </w:trPr>
        <w:tc>
          <w:tcPr>
            <w:tcW w:w="686" w:type="dxa"/>
          </w:tcPr>
          <w:p w:rsidR="006B296C" w:rsidRPr="00C62863" w:rsidRDefault="006B296C" w:rsidP="006B296C">
            <w:pPr>
              <w:rPr>
                <w:sz w:val="20"/>
                <w:szCs w:val="20"/>
              </w:rPr>
            </w:pPr>
            <w:r w:rsidRPr="00C62863">
              <w:rPr>
                <w:sz w:val="20"/>
                <w:szCs w:val="20"/>
              </w:rPr>
              <w:t>1541</w:t>
            </w:r>
          </w:p>
        </w:tc>
        <w:tc>
          <w:tcPr>
            <w:tcW w:w="1296" w:type="dxa"/>
          </w:tcPr>
          <w:p w:rsidR="006B296C" w:rsidRPr="00C62863" w:rsidRDefault="006B296C" w:rsidP="006B296C">
            <w:pPr>
              <w:rPr>
                <w:sz w:val="20"/>
                <w:szCs w:val="20"/>
              </w:rPr>
            </w:pPr>
          </w:p>
          <w:p w:rsidR="006B296C" w:rsidRPr="00C62863" w:rsidRDefault="006B296C" w:rsidP="006B296C">
            <w:pPr>
              <w:rPr>
                <w:sz w:val="20"/>
                <w:szCs w:val="20"/>
              </w:rPr>
            </w:pPr>
            <w:r w:rsidRPr="00C62863">
              <w:rPr>
                <w:sz w:val="20"/>
                <w:szCs w:val="20"/>
              </w:rPr>
              <w:t>Componente</w:t>
            </w:r>
          </w:p>
        </w:tc>
        <w:tc>
          <w:tcPr>
            <w:tcW w:w="1128" w:type="dxa"/>
          </w:tcPr>
          <w:p w:rsidR="006B296C" w:rsidRPr="00C62863" w:rsidRDefault="006B296C" w:rsidP="006B296C">
            <w:pPr>
              <w:rPr>
                <w:sz w:val="20"/>
                <w:szCs w:val="20"/>
              </w:rPr>
            </w:pPr>
          </w:p>
          <w:p w:rsidR="006B296C" w:rsidRPr="00C62863" w:rsidRDefault="006B296C" w:rsidP="006B296C">
            <w:pPr>
              <w:rPr>
                <w:sz w:val="20"/>
                <w:szCs w:val="20"/>
              </w:rPr>
            </w:pPr>
            <w:r w:rsidRPr="00C62863">
              <w:rPr>
                <w:sz w:val="20"/>
                <w:szCs w:val="20"/>
              </w:rPr>
              <w:t>Entregable</w:t>
            </w:r>
          </w:p>
        </w:tc>
        <w:tc>
          <w:tcPr>
            <w:tcW w:w="2428" w:type="dxa"/>
          </w:tcPr>
          <w:p w:rsidR="006B296C" w:rsidRPr="00C62863" w:rsidRDefault="006B296C" w:rsidP="006B296C">
            <w:pPr>
              <w:rPr>
                <w:sz w:val="20"/>
                <w:szCs w:val="20"/>
              </w:rPr>
            </w:pPr>
            <w:r w:rsidRPr="00C62863">
              <w:rPr>
                <w:rFonts w:cs="Helvetica"/>
                <w:color w:val="444444"/>
                <w:sz w:val="20"/>
                <w:szCs w:val="20"/>
                <w:shd w:val="clear" w:color="auto" w:fill="FFFFFF"/>
              </w:rPr>
              <w:t>Resoluciones emitidas oralmente o por escrito en el sistema de justicia para adolescentes</w:t>
            </w:r>
          </w:p>
        </w:tc>
        <w:tc>
          <w:tcPr>
            <w:tcW w:w="1355" w:type="dxa"/>
          </w:tcPr>
          <w:p w:rsidR="006B296C" w:rsidRPr="00C62863" w:rsidRDefault="006B296C" w:rsidP="006B296C">
            <w:pPr>
              <w:jc w:val="center"/>
              <w:rPr>
                <w:rFonts w:cs="Helvetica"/>
                <w:color w:val="333333"/>
                <w:sz w:val="20"/>
                <w:szCs w:val="20"/>
                <w:shd w:val="clear" w:color="auto" w:fill="FFFFFF"/>
              </w:rPr>
            </w:pPr>
          </w:p>
          <w:p w:rsidR="006B296C" w:rsidRPr="00C62863" w:rsidRDefault="006B296C" w:rsidP="006B296C">
            <w:pPr>
              <w:jc w:val="center"/>
              <w:rPr>
                <w:rFonts w:cs="Helvetica"/>
                <w:color w:val="444444"/>
                <w:sz w:val="20"/>
                <w:szCs w:val="20"/>
                <w:shd w:val="clear" w:color="auto" w:fill="FFFFFF"/>
              </w:rPr>
            </w:pPr>
            <w:r w:rsidRPr="00C62863">
              <w:rPr>
                <w:rFonts w:cs="Helvetica"/>
                <w:color w:val="333333"/>
                <w:sz w:val="20"/>
                <w:szCs w:val="20"/>
                <w:shd w:val="clear" w:color="auto" w:fill="FFFFFF"/>
              </w:rPr>
              <w:t>6,444</w:t>
            </w:r>
          </w:p>
        </w:tc>
        <w:tc>
          <w:tcPr>
            <w:tcW w:w="1749" w:type="dxa"/>
          </w:tcPr>
          <w:p w:rsidR="006B296C" w:rsidRPr="00C62863" w:rsidRDefault="006B296C" w:rsidP="006B296C">
            <w:pPr>
              <w:jc w:val="center"/>
              <w:rPr>
                <w:rFonts w:cs="Helvetica"/>
                <w:color w:val="444444"/>
                <w:sz w:val="20"/>
                <w:szCs w:val="20"/>
                <w:shd w:val="clear" w:color="auto" w:fill="FFFFFF"/>
              </w:rPr>
            </w:pPr>
          </w:p>
          <w:p w:rsidR="006B296C" w:rsidRPr="00C62863" w:rsidRDefault="006B296C" w:rsidP="006B296C">
            <w:pPr>
              <w:jc w:val="center"/>
              <w:rPr>
                <w:rFonts w:cs="Helvetica"/>
                <w:color w:val="444444"/>
                <w:sz w:val="20"/>
                <w:szCs w:val="20"/>
                <w:shd w:val="clear" w:color="auto" w:fill="FFFFFF"/>
              </w:rPr>
            </w:pPr>
            <w:r w:rsidRPr="00C62863">
              <w:rPr>
                <w:rFonts w:cs="Helvetica"/>
                <w:color w:val="444444"/>
                <w:sz w:val="20"/>
                <w:szCs w:val="20"/>
                <w:shd w:val="clear" w:color="auto" w:fill="FFFFFF"/>
              </w:rPr>
              <w:t>5,463</w:t>
            </w:r>
          </w:p>
        </w:tc>
      </w:tr>
      <w:tr w:rsidR="006B296C" w:rsidTr="006B296C">
        <w:trPr>
          <w:trHeight w:val="246"/>
        </w:trPr>
        <w:tc>
          <w:tcPr>
            <w:tcW w:w="686" w:type="dxa"/>
          </w:tcPr>
          <w:p w:rsidR="006B296C" w:rsidRPr="00C62863" w:rsidRDefault="006B296C" w:rsidP="006B296C">
            <w:pPr>
              <w:jc w:val="center"/>
              <w:rPr>
                <w:sz w:val="20"/>
                <w:szCs w:val="20"/>
              </w:rPr>
            </w:pPr>
            <w:r>
              <w:rPr>
                <w:rFonts w:cs="Helvetica"/>
                <w:color w:val="333333"/>
                <w:sz w:val="20"/>
                <w:szCs w:val="20"/>
                <w:shd w:val="clear" w:color="auto" w:fill="FFFFFF"/>
              </w:rPr>
              <w:t>1340</w:t>
            </w:r>
          </w:p>
        </w:tc>
        <w:tc>
          <w:tcPr>
            <w:tcW w:w="1296" w:type="dxa"/>
          </w:tcPr>
          <w:p w:rsidR="006B296C" w:rsidRPr="00C62863" w:rsidRDefault="006B296C" w:rsidP="006B296C">
            <w:pPr>
              <w:rPr>
                <w:sz w:val="20"/>
                <w:szCs w:val="20"/>
              </w:rPr>
            </w:pPr>
            <w:r w:rsidRPr="00C62863">
              <w:rPr>
                <w:sz w:val="20"/>
                <w:szCs w:val="20"/>
              </w:rPr>
              <w:t>Componente</w:t>
            </w:r>
          </w:p>
        </w:tc>
        <w:tc>
          <w:tcPr>
            <w:tcW w:w="1128" w:type="dxa"/>
          </w:tcPr>
          <w:p w:rsidR="006B296C" w:rsidRPr="00C62863" w:rsidRDefault="006B296C" w:rsidP="006B296C">
            <w:pPr>
              <w:rPr>
                <w:sz w:val="20"/>
                <w:szCs w:val="20"/>
              </w:rPr>
            </w:pPr>
            <w:r w:rsidRPr="00C62863">
              <w:rPr>
                <w:sz w:val="20"/>
                <w:szCs w:val="20"/>
              </w:rPr>
              <w:t>Entregable</w:t>
            </w:r>
          </w:p>
        </w:tc>
        <w:tc>
          <w:tcPr>
            <w:tcW w:w="2428" w:type="dxa"/>
          </w:tcPr>
          <w:p w:rsidR="006B296C" w:rsidRPr="001668F0" w:rsidRDefault="006B296C" w:rsidP="006B296C">
            <w:pPr>
              <w:rPr>
                <w:sz w:val="20"/>
                <w:szCs w:val="20"/>
              </w:rPr>
            </w:pPr>
            <w:r w:rsidRPr="001668F0">
              <w:rPr>
                <w:rFonts w:cs="Helvetica"/>
                <w:color w:val="444444"/>
                <w:sz w:val="21"/>
                <w:szCs w:val="21"/>
                <w:shd w:val="clear" w:color="auto" w:fill="FFFFFF"/>
              </w:rPr>
              <w:t>Servicio de mecanismos alternativos de solución de controversias</w:t>
            </w:r>
          </w:p>
        </w:tc>
        <w:tc>
          <w:tcPr>
            <w:tcW w:w="1355" w:type="dxa"/>
          </w:tcPr>
          <w:p w:rsidR="006B296C" w:rsidRDefault="006B296C" w:rsidP="006B296C">
            <w:pPr>
              <w:jc w:val="center"/>
              <w:rPr>
                <w:rFonts w:cs="Helvetica"/>
                <w:color w:val="333333"/>
                <w:sz w:val="20"/>
                <w:szCs w:val="20"/>
                <w:shd w:val="clear" w:color="auto" w:fill="FFFFFF"/>
              </w:rPr>
            </w:pPr>
          </w:p>
          <w:p w:rsidR="006B296C" w:rsidRPr="00C62863" w:rsidRDefault="006B296C" w:rsidP="006B296C">
            <w:pPr>
              <w:jc w:val="center"/>
              <w:rPr>
                <w:rFonts w:cs="Helvetica"/>
                <w:color w:val="444444"/>
                <w:sz w:val="20"/>
                <w:szCs w:val="20"/>
                <w:shd w:val="clear" w:color="auto" w:fill="FFFFFF"/>
              </w:rPr>
            </w:pPr>
            <w:r>
              <w:rPr>
                <w:rFonts w:cs="Helvetica"/>
                <w:color w:val="444444"/>
                <w:sz w:val="20"/>
                <w:szCs w:val="20"/>
                <w:shd w:val="clear" w:color="auto" w:fill="FFFFFF"/>
              </w:rPr>
              <w:t>10,773</w:t>
            </w:r>
          </w:p>
        </w:tc>
        <w:tc>
          <w:tcPr>
            <w:tcW w:w="1749" w:type="dxa"/>
          </w:tcPr>
          <w:p w:rsidR="006B296C" w:rsidRDefault="006B296C" w:rsidP="006B296C">
            <w:pPr>
              <w:jc w:val="center"/>
              <w:rPr>
                <w:rFonts w:cs="Helvetica"/>
                <w:color w:val="444444"/>
                <w:sz w:val="20"/>
                <w:szCs w:val="20"/>
                <w:shd w:val="clear" w:color="auto" w:fill="FFFFFF"/>
              </w:rPr>
            </w:pPr>
          </w:p>
          <w:p w:rsidR="006B296C" w:rsidRPr="00C62863" w:rsidRDefault="006B296C" w:rsidP="006B296C">
            <w:pPr>
              <w:jc w:val="center"/>
              <w:rPr>
                <w:rFonts w:cs="Helvetica"/>
                <w:color w:val="444444"/>
                <w:sz w:val="20"/>
                <w:szCs w:val="20"/>
                <w:shd w:val="clear" w:color="auto" w:fill="FFFFFF"/>
              </w:rPr>
            </w:pPr>
            <w:r>
              <w:rPr>
                <w:rFonts w:cs="Helvetica"/>
                <w:color w:val="444444"/>
                <w:sz w:val="20"/>
                <w:szCs w:val="20"/>
                <w:shd w:val="clear" w:color="auto" w:fill="FFFFFF"/>
              </w:rPr>
              <w:t>8,211</w:t>
            </w:r>
          </w:p>
        </w:tc>
      </w:tr>
    </w:tbl>
    <w:p w:rsidR="0013005B" w:rsidRDefault="0013005B" w:rsidP="0013005B">
      <w:pPr>
        <w:jc w:val="both"/>
        <w:rPr>
          <w:rFonts w:ascii="Calibri Light" w:eastAsiaTheme="minorEastAsia" w:hAnsi="Calibri Light"/>
          <w:color w:val="000000" w:themeColor="text1"/>
          <w:kern w:val="24"/>
          <w:sz w:val="20"/>
          <w:szCs w:val="20"/>
        </w:rPr>
      </w:pPr>
    </w:p>
    <w:p w:rsidR="0013005B" w:rsidRDefault="0013005B" w:rsidP="0013005B">
      <w:pPr>
        <w:jc w:val="both"/>
        <w:rPr>
          <w:rFonts w:ascii="Calibri Light" w:eastAsiaTheme="minorEastAsia" w:hAnsi="Calibri Light"/>
          <w:color w:val="000000" w:themeColor="text1"/>
          <w:kern w:val="24"/>
          <w:sz w:val="20"/>
          <w:szCs w:val="20"/>
        </w:rPr>
      </w:pPr>
    </w:p>
    <w:p w:rsidR="00E76323" w:rsidRDefault="00E76323" w:rsidP="0013005B">
      <w:pPr>
        <w:jc w:val="both"/>
        <w:rPr>
          <w:rFonts w:ascii="Calibri Light" w:eastAsiaTheme="minorEastAsia" w:hAnsi="Calibri Light"/>
          <w:color w:val="000000" w:themeColor="text1"/>
          <w:kern w:val="24"/>
          <w:sz w:val="20"/>
          <w:szCs w:val="20"/>
        </w:rPr>
      </w:pPr>
    </w:p>
    <w:p w:rsidR="00E76323" w:rsidRPr="00E76323" w:rsidRDefault="0016365F" w:rsidP="0013005B">
      <w:pPr>
        <w:jc w:val="both"/>
        <w:rPr>
          <w:rFonts w:ascii="Calibri Light" w:eastAsiaTheme="minorEastAsia" w:hAnsi="Calibri Light"/>
          <w:b/>
          <w:i/>
          <w:color w:val="000000" w:themeColor="text1"/>
          <w:kern w:val="24"/>
          <w:sz w:val="28"/>
          <w:szCs w:val="28"/>
        </w:rPr>
      </w:pPr>
      <w:r>
        <w:rPr>
          <w:rFonts w:ascii="Calibri Light" w:eastAsiaTheme="minorEastAsia" w:hAnsi="Calibri Light"/>
          <w:b/>
          <w:i/>
          <w:color w:val="000000" w:themeColor="text1"/>
          <w:kern w:val="24"/>
          <w:sz w:val="28"/>
          <w:szCs w:val="28"/>
        </w:rPr>
        <w:t>AJUSTES EN ENTREGABLES EN PROCESOS</w:t>
      </w:r>
    </w:p>
    <w:p w:rsidR="00E76323" w:rsidRDefault="00E76323" w:rsidP="0013005B">
      <w:pPr>
        <w:jc w:val="both"/>
        <w:rPr>
          <w:rFonts w:ascii="Calibri Light" w:eastAsiaTheme="minorEastAsia" w:hAnsi="Calibri Light"/>
          <w:color w:val="000000" w:themeColor="text1"/>
          <w:kern w:val="24"/>
          <w:sz w:val="20"/>
          <w:szCs w:val="20"/>
        </w:rPr>
      </w:pPr>
      <w:r w:rsidRPr="00E76323">
        <w:rPr>
          <w:noProof/>
          <w:lang w:eastAsia="es-MX"/>
        </w:rPr>
        <w:drawing>
          <wp:inline distT="0" distB="0" distL="0" distR="0">
            <wp:extent cx="5612130" cy="3536780"/>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536780"/>
                    </a:xfrm>
                    <a:prstGeom prst="rect">
                      <a:avLst/>
                    </a:prstGeom>
                    <a:noFill/>
                    <a:ln>
                      <a:noFill/>
                    </a:ln>
                  </pic:spPr>
                </pic:pic>
              </a:graphicData>
            </a:graphic>
          </wp:inline>
        </w:drawing>
      </w:r>
    </w:p>
    <w:p w:rsidR="00E76323" w:rsidRDefault="00E76323" w:rsidP="0013005B">
      <w:pPr>
        <w:jc w:val="both"/>
        <w:rPr>
          <w:rFonts w:ascii="Calibri Light" w:eastAsiaTheme="minorEastAsia" w:hAnsi="Calibri Light"/>
          <w:color w:val="000000" w:themeColor="text1"/>
          <w:kern w:val="24"/>
          <w:sz w:val="20"/>
          <w:szCs w:val="20"/>
        </w:rPr>
      </w:pPr>
    </w:p>
    <w:p w:rsidR="00F274B6" w:rsidRDefault="00F274B6" w:rsidP="0013005B">
      <w:pPr>
        <w:jc w:val="both"/>
        <w:rPr>
          <w:rFonts w:ascii="Calibri Light" w:eastAsiaTheme="minorEastAsia" w:hAnsi="Calibri Light"/>
          <w:color w:val="000000" w:themeColor="text1"/>
          <w:kern w:val="24"/>
          <w:sz w:val="20"/>
          <w:szCs w:val="20"/>
        </w:rPr>
      </w:pPr>
    </w:p>
    <w:p w:rsidR="00F274B6" w:rsidRDefault="00F274B6" w:rsidP="0013005B">
      <w:pPr>
        <w:jc w:val="both"/>
        <w:rPr>
          <w:rFonts w:ascii="Calibri Light" w:eastAsiaTheme="minorEastAsia" w:hAnsi="Calibri Light"/>
          <w:color w:val="000000" w:themeColor="text1"/>
          <w:kern w:val="24"/>
          <w:sz w:val="20"/>
          <w:szCs w:val="20"/>
        </w:rPr>
      </w:pPr>
    </w:p>
    <w:p w:rsidR="00F274B6" w:rsidRDefault="00F274B6" w:rsidP="0013005B">
      <w:pPr>
        <w:jc w:val="both"/>
        <w:rPr>
          <w:rFonts w:ascii="Calibri Light" w:eastAsiaTheme="minorEastAsia" w:hAnsi="Calibri Light"/>
          <w:color w:val="000000" w:themeColor="text1"/>
          <w:kern w:val="24"/>
          <w:sz w:val="20"/>
          <w:szCs w:val="20"/>
        </w:rPr>
      </w:pPr>
    </w:p>
    <w:p w:rsidR="00F274B6" w:rsidRDefault="00F274B6" w:rsidP="0013005B">
      <w:pPr>
        <w:jc w:val="both"/>
        <w:rPr>
          <w:rFonts w:ascii="Calibri Light" w:eastAsiaTheme="minorEastAsia" w:hAnsi="Calibri Light"/>
          <w:color w:val="000000" w:themeColor="text1"/>
          <w:kern w:val="24"/>
          <w:sz w:val="20"/>
          <w:szCs w:val="20"/>
        </w:rPr>
      </w:pPr>
    </w:p>
    <w:p w:rsidR="00F274B6" w:rsidRDefault="00F274B6" w:rsidP="0013005B">
      <w:pPr>
        <w:jc w:val="both"/>
        <w:rPr>
          <w:rFonts w:ascii="Calibri Light" w:eastAsiaTheme="minorEastAsia" w:hAnsi="Calibri Light"/>
          <w:color w:val="000000" w:themeColor="text1"/>
          <w:kern w:val="24"/>
          <w:sz w:val="20"/>
          <w:szCs w:val="20"/>
        </w:rPr>
      </w:pPr>
    </w:p>
    <w:p w:rsidR="00F274B6" w:rsidRDefault="00F274B6" w:rsidP="0013005B">
      <w:pPr>
        <w:jc w:val="both"/>
        <w:rPr>
          <w:rFonts w:ascii="Calibri Light" w:eastAsiaTheme="minorEastAsia" w:hAnsi="Calibri Light"/>
          <w:color w:val="000000" w:themeColor="text1"/>
          <w:kern w:val="24"/>
          <w:sz w:val="20"/>
          <w:szCs w:val="20"/>
        </w:rPr>
      </w:pPr>
    </w:p>
    <w:p w:rsidR="00F274B6" w:rsidRDefault="00F274B6" w:rsidP="0013005B">
      <w:pPr>
        <w:jc w:val="both"/>
        <w:rPr>
          <w:rFonts w:ascii="Calibri Light" w:eastAsiaTheme="minorEastAsia" w:hAnsi="Calibri Light"/>
          <w:color w:val="000000" w:themeColor="text1"/>
          <w:kern w:val="24"/>
          <w:sz w:val="20"/>
          <w:szCs w:val="20"/>
        </w:rPr>
      </w:pPr>
    </w:p>
    <w:p w:rsidR="00F274B6" w:rsidRDefault="00F274B6" w:rsidP="0013005B">
      <w:pPr>
        <w:jc w:val="both"/>
        <w:rPr>
          <w:rFonts w:ascii="Calibri Light" w:eastAsiaTheme="minorEastAsia" w:hAnsi="Calibri Light"/>
          <w:color w:val="000000" w:themeColor="text1"/>
          <w:kern w:val="24"/>
          <w:sz w:val="20"/>
          <w:szCs w:val="20"/>
        </w:rPr>
      </w:pPr>
    </w:p>
    <w:p w:rsidR="00F274B6" w:rsidRDefault="00F274B6" w:rsidP="0013005B">
      <w:pPr>
        <w:jc w:val="both"/>
        <w:rPr>
          <w:rFonts w:ascii="Calibri Light" w:eastAsiaTheme="minorEastAsia" w:hAnsi="Calibri Light"/>
          <w:color w:val="000000" w:themeColor="text1"/>
          <w:kern w:val="24"/>
          <w:sz w:val="20"/>
          <w:szCs w:val="20"/>
        </w:rPr>
      </w:pPr>
    </w:p>
    <w:p w:rsidR="00F274B6" w:rsidRDefault="00F274B6" w:rsidP="0013005B">
      <w:pPr>
        <w:jc w:val="both"/>
        <w:rPr>
          <w:rFonts w:ascii="Calibri Light" w:eastAsiaTheme="minorEastAsia" w:hAnsi="Calibri Light"/>
          <w:color w:val="000000" w:themeColor="text1"/>
          <w:kern w:val="24"/>
          <w:sz w:val="20"/>
          <w:szCs w:val="20"/>
        </w:rPr>
      </w:pPr>
    </w:p>
    <w:p w:rsidR="00F274B6" w:rsidRDefault="00F274B6" w:rsidP="0013005B">
      <w:pPr>
        <w:jc w:val="both"/>
        <w:rPr>
          <w:rFonts w:ascii="Calibri Light" w:eastAsiaTheme="minorEastAsia" w:hAnsi="Calibri Light"/>
          <w:color w:val="000000" w:themeColor="text1"/>
          <w:kern w:val="24"/>
          <w:sz w:val="20"/>
          <w:szCs w:val="20"/>
        </w:rPr>
      </w:pPr>
    </w:p>
    <w:p w:rsidR="009409BD" w:rsidRDefault="009409BD" w:rsidP="00E76323">
      <w:pPr>
        <w:jc w:val="center"/>
        <w:rPr>
          <w:rFonts w:ascii="Calibri Light" w:eastAsiaTheme="minorEastAsia" w:hAnsi="Calibri Light"/>
          <w:b/>
          <w:i/>
          <w:color w:val="000000" w:themeColor="text1"/>
          <w:kern w:val="24"/>
          <w:sz w:val="32"/>
          <w:szCs w:val="32"/>
        </w:rPr>
      </w:pPr>
    </w:p>
    <w:p w:rsidR="00E76323" w:rsidRPr="00E76323" w:rsidRDefault="00E76323" w:rsidP="00E76323">
      <w:pPr>
        <w:jc w:val="center"/>
        <w:rPr>
          <w:rFonts w:ascii="Calibri Light" w:eastAsiaTheme="minorEastAsia" w:hAnsi="Calibri Light"/>
          <w:b/>
          <w:i/>
          <w:color w:val="000000" w:themeColor="text1"/>
          <w:kern w:val="24"/>
          <w:sz w:val="32"/>
          <w:szCs w:val="32"/>
        </w:rPr>
      </w:pPr>
      <w:r w:rsidRPr="00E76323">
        <w:rPr>
          <w:rFonts w:ascii="Calibri Light" w:eastAsiaTheme="minorEastAsia" w:hAnsi="Calibri Light"/>
          <w:b/>
          <w:i/>
          <w:color w:val="000000" w:themeColor="text1"/>
          <w:kern w:val="24"/>
          <w:sz w:val="32"/>
          <w:szCs w:val="32"/>
        </w:rPr>
        <w:t xml:space="preserve">Áreas </w:t>
      </w:r>
      <w:r>
        <w:rPr>
          <w:rFonts w:ascii="Calibri Light" w:eastAsiaTheme="minorEastAsia" w:hAnsi="Calibri Light"/>
          <w:b/>
          <w:i/>
          <w:color w:val="000000" w:themeColor="text1"/>
          <w:kern w:val="24"/>
          <w:sz w:val="32"/>
          <w:szCs w:val="32"/>
        </w:rPr>
        <w:t>Adjetivas</w:t>
      </w:r>
    </w:p>
    <w:p w:rsidR="0016365F" w:rsidRPr="00E76323" w:rsidRDefault="0016365F" w:rsidP="0016365F">
      <w:pPr>
        <w:jc w:val="both"/>
        <w:rPr>
          <w:rFonts w:ascii="Calibri Light" w:eastAsiaTheme="minorEastAsia" w:hAnsi="Calibri Light"/>
          <w:b/>
          <w:i/>
          <w:color w:val="000000" w:themeColor="text1"/>
          <w:kern w:val="24"/>
          <w:sz w:val="28"/>
          <w:szCs w:val="28"/>
        </w:rPr>
      </w:pPr>
      <w:r>
        <w:rPr>
          <w:rFonts w:ascii="Calibri Light" w:eastAsiaTheme="minorEastAsia" w:hAnsi="Calibri Light"/>
          <w:b/>
          <w:i/>
          <w:color w:val="000000" w:themeColor="text1"/>
          <w:kern w:val="24"/>
          <w:sz w:val="28"/>
          <w:szCs w:val="28"/>
        </w:rPr>
        <w:t>AJUSTES EN ENTREGABLES EN PROCESOS DE GESTIÓN</w:t>
      </w:r>
    </w:p>
    <w:p w:rsidR="0013005B" w:rsidRDefault="003D745B" w:rsidP="0013005B">
      <w:pPr>
        <w:jc w:val="both"/>
        <w:rPr>
          <w:rFonts w:ascii="Calibri Light" w:eastAsiaTheme="minorEastAsia" w:hAnsi="Calibri Light"/>
          <w:color w:val="000000" w:themeColor="text1"/>
          <w:kern w:val="24"/>
          <w:sz w:val="20"/>
          <w:szCs w:val="20"/>
        </w:rPr>
      </w:pPr>
      <w:r w:rsidRPr="003D745B">
        <w:rPr>
          <w:noProof/>
          <w:lang w:eastAsia="es-MX"/>
        </w:rPr>
        <w:drawing>
          <wp:inline distT="0" distB="0" distL="0" distR="0">
            <wp:extent cx="5612130" cy="5781937"/>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5781937"/>
                    </a:xfrm>
                    <a:prstGeom prst="rect">
                      <a:avLst/>
                    </a:prstGeom>
                    <a:noFill/>
                    <a:ln>
                      <a:noFill/>
                    </a:ln>
                  </pic:spPr>
                </pic:pic>
              </a:graphicData>
            </a:graphic>
          </wp:inline>
        </w:drawing>
      </w:r>
      <w:bookmarkStart w:id="0" w:name="_GoBack"/>
      <w:bookmarkEnd w:id="0"/>
    </w:p>
    <w:sectPr w:rsidR="0013005B" w:rsidSect="00C167DC">
      <w:headerReference w:type="default" r:id="rId10"/>
      <w:footerReference w:type="default" r:id="rId11"/>
      <w:pgSz w:w="12240" w:h="15840"/>
      <w:pgMar w:top="1701"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3D1" w:rsidRDefault="003953D1" w:rsidP="00EA2404">
      <w:pPr>
        <w:spacing w:after="0" w:line="240" w:lineRule="auto"/>
      </w:pPr>
      <w:r>
        <w:separator/>
      </w:r>
    </w:p>
  </w:endnote>
  <w:endnote w:type="continuationSeparator" w:id="0">
    <w:p w:rsidR="003953D1" w:rsidRDefault="003953D1" w:rsidP="00EA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Light" w:hAnsi="Calibri Light"/>
        <w:sz w:val="20"/>
        <w:szCs w:val="20"/>
      </w:rPr>
      <w:id w:val="1298959708"/>
      <w:docPartObj>
        <w:docPartGallery w:val="Page Numbers (Bottom of Page)"/>
        <w:docPartUnique/>
      </w:docPartObj>
    </w:sdtPr>
    <w:sdtEndPr/>
    <w:sdtContent>
      <w:p w:rsidR="00FA1BE6" w:rsidRPr="006B1D75" w:rsidRDefault="00FA1BE6">
        <w:pPr>
          <w:pStyle w:val="Piedepgina"/>
          <w:jc w:val="right"/>
          <w:rPr>
            <w:rFonts w:ascii="Calibri Light" w:hAnsi="Calibri Light"/>
            <w:sz w:val="20"/>
            <w:szCs w:val="20"/>
          </w:rPr>
        </w:pPr>
        <w:r w:rsidRPr="006B1D75">
          <w:rPr>
            <w:rFonts w:ascii="Calibri Light" w:hAnsi="Calibri Light"/>
            <w:sz w:val="20"/>
            <w:szCs w:val="20"/>
          </w:rPr>
          <w:fldChar w:fldCharType="begin"/>
        </w:r>
        <w:r w:rsidRPr="006B1D75">
          <w:rPr>
            <w:rFonts w:ascii="Calibri Light" w:hAnsi="Calibri Light"/>
            <w:sz w:val="20"/>
            <w:szCs w:val="20"/>
          </w:rPr>
          <w:instrText>PAGE   \* MERGEFORMAT</w:instrText>
        </w:r>
        <w:r w:rsidRPr="006B1D75">
          <w:rPr>
            <w:rFonts w:ascii="Calibri Light" w:hAnsi="Calibri Light"/>
            <w:sz w:val="20"/>
            <w:szCs w:val="20"/>
          </w:rPr>
          <w:fldChar w:fldCharType="separate"/>
        </w:r>
        <w:r w:rsidR="009409BD" w:rsidRPr="009409BD">
          <w:rPr>
            <w:rFonts w:ascii="Calibri Light" w:hAnsi="Calibri Light"/>
            <w:noProof/>
            <w:sz w:val="20"/>
            <w:szCs w:val="20"/>
            <w:lang w:val="es-ES"/>
          </w:rPr>
          <w:t>1</w:t>
        </w:r>
        <w:r w:rsidRPr="006B1D75">
          <w:rPr>
            <w:rFonts w:ascii="Calibri Light" w:hAnsi="Calibri Light"/>
            <w:sz w:val="20"/>
            <w:szCs w:val="20"/>
          </w:rPr>
          <w:fldChar w:fldCharType="end"/>
        </w:r>
      </w:p>
    </w:sdtContent>
  </w:sdt>
  <w:p w:rsidR="00EA2404" w:rsidRPr="00EA2404" w:rsidRDefault="00EA2404">
    <w:pPr>
      <w:pStyle w:val="Piedepgina"/>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3D1" w:rsidRDefault="003953D1" w:rsidP="00EA2404">
      <w:pPr>
        <w:spacing w:after="0" w:line="240" w:lineRule="auto"/>
      </w:pPr>
      <w:r>
        <w:separator/>
      </w:r>
    </w:p>
  </w:footnote>
  <w:footnote w:type="continuationSeparator" w:id="0">
    <w:p w:rsidR="003953D1" w:rsidRDefault="003953D1" w:rsidP="00EA24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404" w:rsidRPr="00004079" w:rsidRDefault="00EA2404">
    <w:pPr>
      <w:pStyle w:val="Encabezado"/>
      <w:rPr>
        <w:i/>
      </w:rPr>
    </w:pPr>
    <w:r w:rsidRPr="00004079">
      <w:rPr>
        <w:i/>
        <w:noProof/>
        <w:color w:val="797B7E" w:themeColor="accent1"/>
        <w:lang w:eastAsia="es-MX"/>
      </w:rPr>
      <w:drawing>
        <wp:anchor distT="0" distB="0" distL="114300" distR="114300" simplePos="0" relativeHeight="251659264" behindDoc="0" locked="0" layoutInCell="1" allowOverlap="1" wp14:anchorId="254703E9" wp14:editId="306DB8CB">
          <wp:simplePos x="0" y="0"/>
          <wp:positionH relativeFrom="column">
            <wp:posOffset>4970145</wp:posOffset>
          </wp:positionH>
          <wp:positionV relativeFrom="paragraph">
            <wp:posOffset>-213360</wp:posOffset>
          </wp:positionV>
          <wp:extent cx="1330325" cy="774409"/>
          <wp:effectExtent l="0" t="0" r="0" b="0"/>
          <wp:wrapNone/>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338119" cy="778946"/>
                  </a:xfrm>
                  <a:prstGeom prst="rect">
                    <a:avLst/>
                  </a:prstGeom>
                </pic:spPr>
              </pic:pic>
            </a:graphicData>
          </a:graphic>
          <wp14:sizeRelH relativeFrom="page">
            <wp14:pctWidth>0</wp14:pctWidth>
          </wp14:sizeRelH>
          <wp14:sizeRelV relativeFrom="page">
            <wp14:pctHeight>0</wp14:pctHeight>
          </wp14:sizeRelV>
        </wp:anchor>
      </w:drawing>
    </w:r>
    <w:r w:rsidR="00B427DA" w:rsidRPr="00004079">
      <w:rPr>
        <w:i/>
        <w:color w:val="797B7E" w:themeColor="accent1"/>
      </w:rPr>
      <w:t>Coordinación de Planeación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F22E0"/>
    <w:multiLevelType w:val="hybridMultilevel"/>
    <w:tmpl w:val="F6F00BA2"/>
    <w:lvl w:ilvl="0" w:tplc="A37E9BB2">
      <w:start w:val="1"/>
      <w:numFmt w:val="bullet"/>
      <w:lvlText w:val=""/>
      <w:lvlJc w:val="right"/>
      <w:pPr>
        <w:ind w:left="1488" w:hanging="360"/>
      </w:pPr>
      <w:rPr>
        <w:rFonts w:ascii="Wingdings" w:hAnsi="Wingdings" w:hint="default"/>
      </w:rPr>
    </w:lvl>
    <w:lvl w:ilvl="1" w:tplc="080A0003" w:tentative="1">
      <w:start w:val="1"/>
      <w:numFmt w:val="bullet"/>
      <w:lvlText w:val="o"/>
      <w:lvlJc w:val="left"/>
      <w:pPr>
        <w:ind w:left="2208" w:hanging="360"/>
      </w:pPr>
      <w:rPr>
        <w:rFonts w:ascii="Courier New" w:hAnsi="Courier New" w:cs="Courier New" w:hint="default"/>
      </w:rPr>
    </w:lvl>
    <w:lvl w:ilvl="2" w:tplc="080A0005" w:tentative="1">
      <w:start w:val="1"/>
      <w:numFmt w:val="bullet"/>
      <w:lvlText w:val=""/>
      <w:lvlJc w:val="left"/>
      <w:pPr>
        <w:ind w:left="2928" w:hanging="360"/>
      </w:pPr>
      <w:rPr>
        <w:rFonts w:ascii="Wingdings" w:hAnsi="Wingdings" w:hint="default"/>
      </w:rPr>
    </w:lvl>
    <w:lvl w:ilvl="3" w:tplc="080A0001" w:tentative="1">
      <w:start w:val="1"/>
      <w:numFmt w:val="bullet"/>
      <w:lvlText w:val=""/>
      <w:lvlJc w:val="left"/>
      <w:pPr>
        <w:ind w:left="3648" w:hanging="360"/>
      </w:pPr>
      <w:rPr>
        <w:rFonts w:ascii="Symbol" w:hAnsi="Symbol" w:hint="default"/>
      </w:rPr>
    </w:lvl>
    <w:lvl w:ilvl="4" w:tplc="080A0003" w:tentative="1">
      <w:start w:val="1"/>
      <w:numFmt w:val="bullet"/>
      <w:lvlText w:val="o"/>
      <w:lvlJc w:val="left"/>
      <w:pPr>
        <w:ind w:left="4368" w:hanging="360"/>
      </w:pPr>
      <w:rPr>
        <w:rFonts w:ascii="Courier New" w:hAnsi="Courier New" w:cs="Courier New" w:hint="default"/>
      </w:rPr>
    </w:lvl>
    <w:lvl w:ilvl="5" w:tplc="080A0005" w:tentative="1">
      <w:start w:val="1"/>
      <w:numFmt w:val="bullet"/>
      <w:lvlText w:val=""/>
      <w:lvlJc w:val="left"/>
      <w:pPr>
        <w:ind w:left="5088" w:hanging="360"/>
      </w:pPr>
      <w:rPr>
        <w:rFonts w:ascii="Wingdings" w:hAnsi="Wingdings" w:hint="default"/>
      </w:rPr>
    </w:lvl>
    <w:lvl w:ilvl="6" w:tplc="080A0001" w:tentative="1">
      <w:start w:val="1"/>
      <w:numFmt w:val="bullet"/>
      <w:lvlText w:val=""/>
      <w:lvlJc w:val="left"/>
      <w:pPr>
        <w:ind w:left="5808" w:hanging="360"/>
      </w:pPr>
      <w:rPr>
        <w:rFonts w:ascii="Symbol" w:hAnsi="Symbol" w:hint="default"/>
      </w:rPr>
    </w:lvl>
    <w:lvl w:ilvl="7" w:tplc="080A0003" w:tentative="1">
      <w:start w:val="1"/>
      <w:numFmt w:val="bullet"/>
      <w:lvlText w:val="o"/>
      <w:lvlJc w:val="left"/>
      <w:pPr>
        <w:ind w:left="6528" w:hanging="360"/>
      </w:pPr>
      <w:rPr>
        <w:rFonts w:ascii="Courier New" w:hAnsi="Courier New" w:cs="Courier New" w:hint="default"/>
      </w:rPr>
    </w:lvl>
    <w:lvl w:ilvl="8" w:tplc="080A0005" w:tentative="1">
      <w:start w:val="1"/>
      <w:numFmt w:val="bullet"/>
      <w:lvlText w:val=""/>
      <w:lvlJc w:val="left"/>
      <w:pPr>
        <w:ind w:left="7248" w:hanging="360"/>
      </w:pPr>
      <w:rPr>
        <w:rFonts w:ascii="Wingdings" w:hAnsi="Wingdings" w:hint="default"/>
      </w:rPr>
    </w:lvl>
  </w:abstractNum>
  <w:abstractNum w:abstractNumId="1" w15:restartNumberingAfterBreak="0">
    <w:nsid w:val="0C0253EF"/>
    <w:multiLevelType w:val="hybridMultilevel"/>
    <w:tmpl w:val="785856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0F0758"/>
    <w:multiLevelType w:val="hybridMultilevel"/>
    <w:tmpl w:val="3646A524"/>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517501"/>
    <w:multiLevelType w:val="hybridMultilevel"/>
    <w:tmpl w:val="FEFCBE94"/>
    <w:lvl w:ilvl="0" w:tplc="080A0001">
      <w:start w:val="1"/>
      <w:numFmt w:val="bullet"/>
      <w:lvlText w:val=""/>
      <w:lvlJc w:val="left"/>
      <w:pPr>
        <w:ind w:left="2568" w:hanging="360"/>
      </w:pPr>
      <w:rPr>
        <w:rFonts w:ascii="Symbol" w:hAnsi="Symbol" w:hint="default"/>
      </w:rPr>
    </w:lvl>
    <w:lvl w:ilvl="1" w:tplc="080A0003" w:tentative="1">
      <w:start w:val="1"/>
      <w:numFmt w:val="bullet"/>
      <w:lvlText w:val="o"/>
      <w:lvlJc w:val="left"/>
      <w:pPr>
        <w:ind w:left="3288" w:hanging="360"/>
      </w:pPr>
      <w:rPr>
        <w:rFonts w:ascii="Courier New" w:hAnsi="Courier New" w:cs="Courier New" w:hint="default"/>
      </w:rPr>
    </w:lvl>
    <w:lvl w:ilvl="2" w:tplc="080A0005" w:tentative="1">
      <w:start w:val="1"/>
      <w:numFmt w:val="bullet"/>
      <w:lvlText w:val=""/>
      <w:lvlJc w:val="left"/>
      <w:pPr>
        <w:ind w:left="4008" w:hanging="360"/>
      </w:pPr>
      <w:rPr>
        <w:rFonts w:ascii="Wingdings" w:hAnsi="Wingdings" w:hint="default"/>
      </w:rPr>
    </w:lvl>
    <w:lvl w:ilvl="3" w:tplc="080A0001" w:tentative="1">
      <w:start w:val="1"/>
      <w:numFmt w:val="bullet"/>
      <w:lvlText w:val=""/>
      <w:lvlJc w:val="left"/>
      <w:pPr>
        <w:ind w:left="4728" w:hanging="360"/>
      </w:pPr>
      <w:rPr>
        <w:rFonts w:ascii="Symbol" w:hAnsi="Symbol" w:hint="default"/>
      </w:rPr>
    </w:lvl>
    <w:lvl w:ilvl="4" w:tplc="080A0003" w:tentative="1">
      <w:start w:val="1"/>
      <w:numFmt w:val="bullet"/>
      <w:lvlText w:val="o"/>
      <w:lvlJc w:val="left"/>
      <w:pPr>
        <w:ind w:left="5448" w:hanging="360"/>
      </w:pPr>
      <w:rPr>
        <w:rFonts w:ascii="Courier New" w:hAnsi="Courier New" w:cs="Courier New" w:hint="default"/>
      </w:rPr>
    </w:lvl>
    <w:lvl w:ilvl="5" w:tplc="080A0005" w:tentative="1">
      <w:start w:val="1"/>
      <w:numFmt w:val="bullet"/>
      <w:lvlText w:val=""/>
      <w:lvlJc w:val="left"/>
      <w:pPr>
        <w:ind w:left="6168" w:hanging="360"/>
      </w:pPr>
      <w:rPr>
        <w:rFonts w:ascii="Wingdings" w:hAnsi="Wingdings" w:hint="default"/>
      </w:rPr>
    </w:lvl>
    <w:lvl w:ilvl="6" w:tplc="080A0001" w:tentative="1">
      <w:start w:val="1"/>
      <w:numFmt w:val="bullet"/>
      <w:lvlText w:val=""/>
      <w:lvlJc w:val="left"/>
      <w:pPr>
        <w:ind w:left="6888" w:hanging="360"/>
      </w:pPr>
      <w:rPr>
        <w:rFonts w:ascii="Symbol" w:hAnsi="Symbol" w:hint="default"/>
      </w:rPr>
    </w:lvl>
    <w:lvl w:ilvl="7" w:tplc="080A0003" w:tentative="1">
      <w:start w:val="1"/>
      <w:numFmt w:val="bullet"/>
      <w:lvlText w:val="o"/>
      <w:lvlJc w:val="left"/>
      <w:pPr>
        <w:ind w:left="7608" w:hanging="360"/>
      </w:pPr>
      <w:rPr>
        <w:rFonts w:ascii="Courier New" w:hAnsi="Courier New" w:cs="Courier New" w:hint="default"/>
      </w:rPr>
    </w:lvl>
    <w:lvl w:ilvl="8" w:tplc="080A0005" w:tentative="1">
      <w:start w:val="1"/>
      <w:numFmt w:val="bullet"/>
      <w:lvlText w:val=""/>
      <w:lvlJc w:val="left"/>
      <w:pPr>
        <w:ind w:left="8328" w:hanging="360"/>
      </w:pPr>
      <w:rPr>
        <w:rFonts w:ascii="Wingdings" w:hAnsi="Wingdings" w:hint="default"/>
      </w:rPr>
    </w:lvl>
  </w:abstractNum>
  <w:abstractNum w:abstractNumId="4" w15:restartNumberingAfterBreak="0">
    <w:nsid w:val="1957663D"/>
    <w:multiLevelType w:val="hybridMultilevel"/>
    <w:tmpl w:val="1BD05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2C6CFD"/>
    <w:multiLevelType w:val="hybridMultilevel"/>
    <w:tmpl w:val="81980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2040F"/>
    <w:multiLevelType w:val="hybridMultilevel"/>
    <w:tmpl w:val="CF28CAD4"/>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8E7EB4"/>
    <w:multiLevelType w:val="hybridMultilevel"/>
    <w:tmpl w:val="24A4F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FD1A1B"/>
    <w:multiLevelType w:val="hybridMultilevel"/>
    <w:tmpl w:val="D9F06300"/>
    <w:lvl w:ilvl="0" w:tplc="90720374">
      <w:start w:val="1"/>
      <w:numFmt w:val="decimal"/>
      <w:lvlText w:val="%1."/>
      <w:lvlJc w:val="left"/>
      <w:pPr>
        <w:ind w:left="1752" w:hanging="360"/>
      </w:pPr>
      <w:rPr>
        <w:rFonts w:hint="default"/>
      </w:rPr>
    </w:lvl>
    <w:lvl w:ilvl="1" w:tplc="080A0019" w:tentative="1">
      <w:start w:val="1"/>
      <w:numFmt w:val="lowerLetter"/>
      <w:lvlText w:val="%2."/>
      <w:lvlJc w:val="left"/>
      <w:pPr>
        <w:ind w:left="2472" w:hanging="360"/>
      </w:pPr>
    </w:lvl>
    <w:lvl w:ilvl="2" w:tplc="080A001B" w:tentative="1">
      <w:start w:val="1"/>
      <w:numFmt w:val="lowerRoman"/>
      <w:lvlText w:val="%3."/>
      <w:lvlJc w:val="right"/>
      <w:pPr>
        <w:ind w:left="3192" w:hanging="180"/>
      </w:pPr>
    </w:lvl>
    <w:lvl w:ilvl="3" w:tplc="080A000F" w:tentative="1">
      <w:start w:val="1"/>
      <w:numFmt w:val="decimal"/>
      <w:lvlText w:val="%4."/>
      <w:lvlJc w:val="left"/>
      <w:pPr>
        <w:ind w:left="3912" w:hanging="360"/>
      </w:pPr>
    </w:lvl>
    <w:lvl w:ilvl="4" w:tplc="080A0019" w:tentative="1">
      <w:start w:val="1"/>
      <w:numFmt w:val="lowerLetter"/>
      <w:lvlText w:val="%5."/>
      <w:lvlJc w:val="left"/>
      <w:pPr>
        <w:ind w:left="4632" w:hanging="360"/>
      </w:pPr>
    </w:lvl>
    <w:lvl w:ilvl="5" w:tplc="080A001B" w:tentative="1">
      <w:start w:val="1"/>
      <w:numFmt w:val="lowerRoman"/>
      <w:lvlText w:val="%6."/>
      <w:lvlJc w:val="right"/>
      <w:pPr>
        <w:ind w:left="5352" w:hanging="180"/>
      </w:pPr>
    </w:lvl>
    <w:lvl w:ilvl="6" w:tplc="080A000F" w:tentative="1">
      <w:start w:val="1"/>
      <w:numFmt w:val="decimal"/>
      <w:lvlText w:val="%7."/>
      <w:lvlJc w:val="left"/>
      <w:pPr>
        <w:ind w:left="6072" w:hanging="360"/>
      </w:pPr>
    </w:lvl>
    <w:lvl w:ilvl="7" w:tplc="080A0019" w:tentative="1">
      <w:start w:val="1"/>
      <w:numFmt w:val="lowerLetter"/>
      <w:lvlText w:val="%8."/>
      <w:lvlJc w:val="left"/>
      <w:pPr>
        <w:ind w:left="6792" w:hanging="360"/>
      </w:pPr>
    </w:lvl>
    <w:lvl w:ilvl="8" w:tplc="080A001B" w:tentative="1">
      <w:start w:val="1"/>
      <w:numFmt w:val="lowerRoman"/>
      <w:lvlText w:val="%9."/>
      <w:lvlJc w:val="right"/>
      <w:pPr>
        <w:ind w:left="7512" w:hanging="180"/>
      </w:pPr>
    </w:lvl>
  </w:abstractNum>
  <w:abstractNum w:abstractNumId="9" w15:restartNumberingAfterBreak="0">
    <w:nsid w:val="2EBE6012"/>
    <w:multiLevelType w:val="hybridMultilevel"/>
    <w:tmpl w:val="C868B3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1F9540A"/>
    <w:multiLevelType w:val="hybridMultilevel"/>
    <w:tmpl w:val="6C4AC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CB2F72"/>
    <w:multiLevelType w:val="hybridMultilevel"/>
    <w:tmpl w:val="C0982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984E50"/>
    <w:multiLevelType w:val="hybridMultilevel"/>
    <w:tmpl w:val="4F62F4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B0B23B4"/>
    <w:multiLevelType w:val="hybridMultilevel"/>
    <w:tmpl w:val="E1AC0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BE26A2E"/>
    <w:multiLevelType w:val="hybridMultilevel"/>
    <w:tmpl w:val="5E9ABC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646223"/>
    <w:multiLevelType w:val="hybridMultilevel"/>
    <w:tmpl w:val="2CE830F0"/>
    <w:lvl w:ilvl="0" w:tplc="080A0001">
      <w:start w:val="1"/>
      <w:numFmt w:val="bullet"/>
      <w:lvlText w:val=""/>
      <w:lvlJc w:val="left"/>
      <w:pPr>
        <w:ind w:left="2568" w:hanging="360"/>
      </w:pPr>
      <w:rPr>
        <w:rFonts w:ascii="Symbol" w:hAnsi="Symbol" w:hint="default"/>
      </w:rPr>
    </w:lvl>
    <w:lvl w:ilvl="1" w:tplc="080A0003" w:tentative="1">
      <w:start w:val="1"/>
      <w:numFmt w:val="bullet"/>
      <w:lvlText w:val="o"/>
      <w:lvlJc w:val="left"/>
      <w:pPr>
        <w:ind w:left="3288" w:hanging="360"/>
      </w:pPr>
      <w:rPr>
        <w:rFonts w:ascii="Courier New" w:hAnsi="Courier New" w:cs="Courier New" w:hint="default"/>
      </w:rPr>
    </w:lvl>
    <w:lvl w:ilvl="2" w:tplc="080A0005" w:tentative="1">
      <w:start w:val="1"/>
      <w:numFmt w:val="bullet"/>
      <w:lvlText w:val=""/>
      <w:lvlJc w:val="left"/>
      <w:pPr>
        <w:ind w:left="4008" w:hanging="360"/>
      </w:pPr>
      <w:rPr>
        <w:rFonts w:ascii="Wingdings" w:hAnsi="Wingdings" w:hint="default"/>
      </w:rPr>
    </w:lvl>
    <w:lvl w:ilvl="3" w:tplc="080A0001" w:tentative="1">
      <w:start w:val="1"/>
      <w:numFmt w:val="bullet"/>
      <w:lvlText w:val=""/>
      <w:lvlJc w:val="left"/>
      <w:pPr>
        <w:ind w:left="4728" w:hanging="360"/>
      </w:pPr>
      <w:rPr>
        <w:rFonts w:ascii="Symbol" w:hAnsi="Symbol" w:hint="default"/>
      </w:rPr>
    </w:lvl>
    <w:lvl w:ilvl="4" w:tplc="080A0003" w:tentative="1">
      <w:start w:val="1"/>
      <w:numFmt w:val="bullet"/>
      <w:lvlText w:val="o"/>
      <w:lvlJc w:val="left"/>
      <w:pPr>
        <w:ind w:left="5448" w:hanging="360"/>
      </w:pPr>
      <w:rPr>
        <w:rFonts w:ascii="Courier New" w:hAnsi="Courier New" w:cs="Courier New" w:hint="default"/>
      </w:rPr>
    </w:lvl>
    <w:lvl w:ilvl="5" w:tplc="080A0005" w:tentative="1">
      <w:start w:val="1"/>
      <w:numFmt w:val="bullet"/>
      <w:lvlText w:val=""/>
      <w:lvlJc w:val="left"/>
      <w:pPr>
        <w:ind w:left="6168" w:hanging="360"/>
      </w:pPr>
      <w:rPr>
        <w:rFonts w:ascii="Wingdings" w:hAnsi="Wingdings" w:hint="default"/>
      </w:rPr>
    </w:lvl>
    <w:lvl w:ilvl="6" w:tplc="080A0001" w:tentative="1">
      <w:start w:val="1"/>
      <w:numFmt w:val="bullet"/>
      <w:lvlText w:val=""/>
      <w:lvlJc w:val="left"/>
      <w:pPr>
        <w:ind w:left="6888" w:hanging="360"/>
      </w:pPr>
      <w:rPr>
        <w:rFonts w:ascii="Symbol" w:hAnsi="Symbol" w:hint="default"/>
      </w:rPr>
    </w:lvl>
    <w:lvl w:ilvl="7" w:tplc="080A0003" w:tentative="1">
      <w:start w:val="1"/>
      <w:numFmt w:val="bullet"/>
      <w:lvlText w:val="o"/>
      <w:lvlJc w:val="left"/>
      <w:pPr>
        <w:ind w:left="7608" w:hanging="360"/>
      </w:pPr>
      <w:rPr>
        <w:rFonts w:ascii="Courier New" w:hAnsi="Courier New" w:cs="Courier New" w:hint="default"/>
      </w:rPr>
    </w:lvl>
    <w:lvl w:ilvl="8" w:tplc="080A0005" w:tentative="1">
      <w:start w:val="1"/>
      <w:numFmt w:val="bullet"/>
      <w:lvlText w:val=""/>
      <w:lvlJc w:val="left"/>
      <w:pPr>
        <w:ind w:left="8328" w:hanging="360"/>
      </w:pPr>
      <w:rPr>
        <w:rFonts w:ascii="Wingdings" w:hAnsi="Wingdings" w:hint="default"/>
      </w:rPr>
    </w:lvl>
  </w:abstractNum>
  <w:abstractNum w:abstractNumId="16" w15:restartNumberingAfterBreak="0">
    <w:nsid w:val="4E4B5D15"/>
    <w:multiLevelType w:val="hybridMultilevel"/>
    <w:tmpl w:val="9D0094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477D5C"/>
    <w:multiLevelType w:val="hybridMultilevel"/>
    <w:tmpl w:val="E744C5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0C16C4"/>
    <w:multiLevelType w:val="hybridMultilevel"/>
    <w:tmpl w:val="24204794"/>
    <w:lvl w:ilvl="0" w:tplc="080A0001">
      <w:start w:val="1"/>
      <w:numFmt w:val="bullet"/>
      <w:lvlText w:val=""/>
      <w:lvlJc w:val="left"/>
      <w:pPr>
        <w:ind w:left="2208" w:hanging="360"/>
      </w:pPr>
      <w:rPr>
        <w:rFonts w:ascii="Symbol" w:hAnsi="Symbol" w:hint="default"/>
      </w:rPr>
    </w:lvl>
    <w:lvl w:ilvl="1" w:tplc="080A0003" w:tentative="1">
      <w:start w:val="1"/>
      <w:numFmt w:val="bullet"/>
      <w:lvlText w:val="o"/>
      <w:lvlJc w:val="left"/>
      <w:pPr>
        <w:ind w:left="2928" w:hanging="360"/>
      </w:pPr>
      <w:rPr>
        <w:rFonts w:ascii="Courier New" w:hAnsi="Courier New" w:cs="Courier New" w:hint="default"/>
      </w:rPr>
    </w:lvl>
    <w:lvl w:ilvl="2" w:tplc="080A0005" w:tentative="1">
      <w:start w:val="1"/>
      <w:numFmt w:val="bullet"/>
      <w:lvlText w:val=""/>
      <w:lvlJc w:val="left"/>
      <w:pPr>
        <w:ind w:left="3648" w:hanging="360"/>
      </w:pPr>
      <w:rPr>
        <w:rFonts w:ascii="Wingdings" w:hAnsi="Wingdings" w:hint="default"/>
      </w:rPr>
    </w:lvl>
    <w:lvl w:ilvl="3" w:tplc="080A0001" w:tentative="1">
      <w:start w:val="1"/>
      <w:numFmt w:val="bullet"/>
      <w:lvlText w:val=""/>
      <w:lvlJc w:val="left"/>
      <w:pPr>
        <w:ind w:left="4368" w:hanging="360"/>
      </w:pPr>
      <w:rPr>
        <w:rFonts w:ascii="Symbol" w:hAnsi="Symbol" w:hint="default"/>
      </w:rPr>
    </w:lvl>
    <w:lvl w:ilvl="4" w:tplc="080A0003" w:tentative="1">
      <w:start w:val="1"/>
      <w:numFmt w:val="bullet"/>
      <w:lvlText w:val="o"/>
      <w:lvlJc w:val="left"/>
      <w:pPr>
        <w:ind w:left="5088" w:hanging="360"/>
      </w:pPr>
      <w:rPr>
        <w:rFonts w:ascii="Courier New" w:hAnsi="Courier New" w:cs="Courier New" w:hint="default"/>
      </w:rPr>
    </w:lvl>
    <w:lvl w:ilvl="5" w:tplc="080A0005" w:tentative="1">
      <w:start w:val="1"/>
      <w:numFmt w:val="bullet"/>
      <w:lvlText w:val=""/>
      <w:lvlJc w:val="left"/>
      <w:pPr>
        <w:ind w:left="5808" w:hanging="360"/>
      </w:pPr>
      <w:rPr>
        <w:rFonts w:ascii="Wingdings" w:hAnsi="Wingdings" w:hint="default"/>
      </w:rPr>
    </w:lvl>
    <w:lvl w:ilvl="6" w:tplc="080A0001" w:tentative="1">
      <w:start w:val="1"/>
      <w:numFmt w:val="bullet"/>
      <w:lvlText w:val=""/>
      <w:lvlJc w:val="left"/>
      <w:pPr>
        <w:ind w:left="6528" w:hanging="360"/>
      </w:pPr>
      <w:rPr>
        <w:rFonts w:ascii="Symbol" w:hAnsi="Symbol" w:hint="default"/>
      </w:rPr>
    </w:lvl>
    <w:lvl w:ilvl="7" w:tplc="080A0003" w:tentative="1">
      <w:start w:val="1"/>
      <w:numFmt w:val="bullet"/>
      <w:lvlText w:val="o"/>
      <w:lvlJc w:val="left"/>
      <w:pPr>
        <w:ind w:left="7248" w:hanging="360"/>
      </w:pPr>
      <w:rPr>
        <w:rFonts w:ascii="Courier New" w:hAnsi="Courier New" w:cs="Courier New" w:hint="default"/>
      </w:rPr>
    </w:lvl>
    <w:lvl w:ilvl="8" w:tplc="080A0005" w:tentative="1">
      <w:start w:val="1"/>
      <w:numFmt w:val="bullet"/>
      <w:lvlText w:val=""/>
      <w:lvlJc w:val="left"/>
      <w:pPr>
        <w:ind w:left="7968" w:hanging="360"/>
      </w:pPr>
      <w:rPr>
        <w:rFonts w:ascii="Wingdings" w:hAnsi="Wingdings" w:hint="default"/>
      </w:rPr>
    </w:lvl>
  </w:abstractNum>
  <w:abstractNum w:abstractNumId="19" w15:restartNumberingAfterBreak="0">
    <w:nsid w:val="5F8C4699"/>
    <w:multiLevelType w:val="hybridMultilevel"/>
    <w:tmpl w:val="2076C5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FE64E26"/>
    <w:multiLevelType w:val="hybridMultilevel"/>
    <w:tmpl w:val="AA5E733A"/>
    <w:lvl w:ilvl="0" w:tplc="080A0001">
      <w:start w:val="1"/>
      <w:numFmt w:val="bullet"/>
      <w:lvlText w:val=""/>
      <w:lvlJc w:val="left"/>
      <w:pPr>
        <w:ind w:left="2487" w:hanging="360"/>
      </w:pPr>
      <w:rPr>
        <w:rFonts w:ascii="Symbol" w:hAnsi="Symbol" w:hint="default"/>
      </w:rPr>
    </w:lvl>
    <w:lvl w:ilvl="1" w:tplc="080A0003" w:tentative="1">
      <w:start w:val="1"/>
      <w:numFmt w:val="bullet"/>
      <w:lvlText w:val="o"/>
      <w:lvlJc w:val="left"/>
      <w:pPr>
        <w:ind w:left="3207" w:hanging="360"/>
      </w:pPr>
      <w:rPr>
        <w:rFonts w:ascii="Courier New" w:hAnsi="Courier New" w:cs="Courier New" w:hint="default"/>
      </w:rPr>
    </w:lvl>
    <w:lvl w:ilvl="2" w:tplc="080A0005" w:tentative="1">
      <w:start w:val="1"/>
      <w:numFmt w:val="bullet"/>
      <w:lvlText w:val=""/>
      <w:lvlJc w:val="left"/>
      <w:pPr>
        <w:ind w:left="3927" w:hanging="360"/>
      </w:pPr>
      <w:rPr>
        <w:rFonts w:ascii="Wingdings" w:hAnsi="Wingdings" w:hint="default"/>
      </w:rPr>
    </w:lvl>
    <w:lvl w:ilvl="3" w:tplc="080A0001" w:tentative="1">
      <w:start w:val="1"/>
      <w:numFmt w:val="bullet"/>
      <w:lvlText w:val=""/>
      <w:lvlJc w:val="left"/>
      <w:pPr>
        <w:ind w:left="4647" w:hanging="360"/>
      </w:pPr>
      <w:rPr>
        <w:rFonts w:ascii="Symbol" w:hAnsi="Symbol" w:hint="default"/>
      </w:rPr>
    </w:lvl>
    <w:lvl w:ilvl="4" w:tplc="080A0003" w:tentative="1">
      <w:start w:val="1"/>
      <w:numFmt w:val="bullet"/>
      <w:lvlText w:val="o"/>
      <w:lvlJc w:val="left"/>
      <w:pPr>
        <w:ind w:left="5367" w:hanging="360"/>
      </w:pPr>
      <w:rPr>
        <w:rFonts w:ascii="Courier New" w:hAnsi="Courier New" w:cs="Courier New" w:hint="default"/>
      </w:rPr>
    </w:lvl>
    <w:lvl w:ilvl="5" w:tplc="080A0005" w:tentative="1">
      <w:start w:val="1"/>
      <w:numFmt w:val="bullet"/>
      <w:lvlText w:val=""/>
      <w:lvlJc w:val="left"/>
      <w:pPr>
        <w:ind w:left="6087" w:hanging="360"/>
      </w:pPr>
      <w:rPr>
        <w:rFonts w:ascii="Wingdings" w:hAnsi="Wingdings" w:hint="default"/>
      </w:rPr>
    </w:lvl>
    <w:lvl w:ilvl="6" w:tplc="080A0001" w:tentative="1">
      <w:start w:val="1"/>
      <w:numFmt w:val="bullet"/>
      <w:lvlText w:val=""/>
      <w:lvlJc w:val="left"/>
      <w:pPr>
        <w:ind w:left="6807" w:hanging="360"/>
      </w:pPr>
      <w:rPr>
        <w:rFonts w:ascii="Symbol" w:hAnsi="Symbol" w:hint="default"/>
      </w:rPr>
    </w:lvl>
    <w:lvl w:ilvl="7" w:tplc="080A0003" w:tentative="1">
      <w:start w:val="1"/>
      <w:numFmt w:val="bullet"/>
      <w:lvlText w:val="o"/>
      <w:lvlJc w:val="left"/>
      <w:pPr>
        <w:ind w:left="7527" w:hanging="360"/>
      </w:pPr>
      <w:rPr>
        <w:rFonts w:ascii="Courier New" w:hAnsi="Courier New" w:cs="Courier New" w:hint="default"/>
      </w:rPr>
    </w:lvl>
    <w:lvl w:ilvl="8" w:tplc="080A0005" w:tentative="1">
      <w:start w:val="1"/>
      <w:numFmt w:val="bullet"/>
      <w:lvlText w:val=""/>
      <w:lvlJc w:val="left"/>
      <w:pPr>
        <w:ind w:left="8247" w:hanging="360"/>
      </w:pPr>
      <w:rPr>
        <w:rFonts w:ascii="Wingdings" w:hAnsi="Wingdings" w:hint="default"/>
      </w:rPr>
    </w:lvl>
  </w:abstractNum>
  <w:abstractNum w:abstractNumId="21" w15:restartNumberingAfterBreak="0">
    <w:nsid w:val="60450273"/>
    <w:multiLevelType w:val="hybridMultilevel"/>
    <w:tmpl w:val="44B8B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443FFA"/>
    <w:multiLevelType w:val="hybridMultilevel"/>
    <w:tmpl w:val="6E567AE6"/>
    <w:lvl w:ilvl="0" w:tplc="CC5A15CA">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3B32883"/>
    <w:multiLevelType w:val="hybridMultilevel"/>
    <w:tmpl w:val="B08C7710"/>
    <w:lvl w:ilvl="0" w:tplc="A37E9BB2">
      <w:start w:val="1"/>
      <w:numFmt w:val="bullet"/>
      <w:lvlText w:val=""/>
      <w:lvlJc w:val="righ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688F7F44"/>
    <w:multiLevelType w:val="hybridMultilevel"/>
    <w:tmpl w:val="36B4FE8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A5A51DC"/>
    <w:multiLevelType w:val="hybridMultilevel"/>
    <w:tmpl w:val="797852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B51408C"/>
    <w:multiLevelType w:val="hybridMultilevel"/>
    <w:tmpl w:val="1E8A1A8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6FAC7445"/>
    <w:multiLevelType w:val="hybridMultilevel"/>
    <w:tmpl w:val="883E31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1448B4"/>
    <w:multiLevelType w:val="hybridMultilevel"/>
    <w:tmpl w:val="BF6630EE"/>
    <w:lvl w:ilvl="0" w:tplc="9E360A72">
      <w:start w:val="1"/>
      <w:numFmt w:val="bullet"/>
      <w:lvlText w:val=""/>
      <w:lvlJc w:val="righ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AF14065"/>
    <w:multiLevelType w:val="hybridMultilevel"/>
    <w:tmpl w:val="FEDA8F5E"/>
    <w:lvl w:ilvl="0" w:tplc="032A9DFA">
      <w:numFmt w:val="bullet"/>
      <w:lvlText w:val="-"/>
      <w:lvlJc w:val="left"/>
      <w:pPr>
        <w:ind w:left="1776" w:hanging="360"/>
      </w:pPr>
      <w:rPr>
        <w:rFonts w:ascii="Franklin Gothic Book" w:eastAsiaTheme="minorHAnsi" w:hAnsi="Franklin Gothic Book" w:cstheme="minorBidi"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abstractNumId w:val="6"/>
  </w:num>
  <w:num w:numId="2">
    <w:abstractNumId w:val="5"/>
  </w:num>
  <w:num w:numId="3">
    <w:abstractNumId w:val="13"/>
  </w:num>
  <w:num w:numId="4">
    <w:abstractNumId w:val="17"/>
  </w:num>
  <w:num w:numId="5">
    <w:abstractNumId w:val="12"/>
  </w:num>
  <w:num w:numId="6">
    <w:abstractNumId w:val="22"/>
  </w:num>
  <w:num w:numId="7">
    <w:abstractNumId w:val="19"/>
  </w:num>
  <w:num w:numId="8">
    <w:abstractNumId w:val="27"/>
  </w:num>
  <w:num w:numId="9">
    <w:abstractNumId w:val="24"/>
  </w:num>
  <w:num w:numId="10">
    <w:abstractNumId w:val="4"/>
  </w:num>
  <w:num w:numId="11">
    <w:abstractNumId w:val="21"/>
  </w:num>
  <w:num w:numId="12">
    <w:abstractNumId w:val="10"/>
  </w:num>
  <w:num w:numId="13">
    <w:abstractNumId w:val="11"/>
  </w:num>
  <w:num w:numId="14">
    <w:abstractNumId w:val="29"/>
  </w:num>
  <w:num w:numId="15">
    <w:abstractNumId w:val="26"/>
  </w:num>
  <w:num w:numId="16">
    <w:abstractNumId w:val="16"/>
  </w:num>
  <w:num w:numId="17">
    <w:abstractNumId w:val="1"/>
  </w:num>
  <w:num w:numId="18">
    <w:abstractNumId w:val="7"/>
  </w:num>
  <w:num w:numId="19">
    <w:abstractNumId w:val="2"/>
  </w:num>
  <w:num w:numId="20">
    <w:abstractNumId w:val="9"/>
  </w:num>
  <w:num w:numId="21">
    <w:abstractNumId w:val="25"/>
  </w:num>
  <w:num w:numId="22">
    <w:abstractNumId w:val="8"/>
  </w:num>
  <w:num w:numId="23">
    <w:abstractNumId w:val="0"/>
  </w:num>
  <w:num w:numId="24">
    <w:abstractNumId w:val="23"/>
  </w:num>
  <w:num w:numId="25">
    <w:abstractNumId w:val="18"/>
  </w:num>
  <w:num w:numId="26">
    <w:abstractNumId w:val="3"/>
  </w:num>
  <w:num w:numId="27">
    <w:abstractNumId w:val="14"/>
  </w:num>
  <w:num w:numId="28">
    <w:abstractNumId w:val="15"/>
  </w:num>
  <w:num w:numId="29">
    <w:abstractNumId w:val="2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5F"/>
    <w:rsid w:val="00002380"/>
    <w:rsid w:val="00004079"/>
    <w:rsid w:val="000053B0"/>
    <w:rsid w:val="00006E54"/>
    <w:rsid w:val="000307D2"/>
    <w:rsid w:val="00032EEB"/>
    <w:rsid w:val="00041427"/>
    <w:rsid w:val="00045199"/>
    <w:rsid w:val="000609B6"/>
    <w:rsid w:val="00061259"/>
    <w:rsid w:val="000625CD"/>
    <w:rsid w:val="000659B6"/>
    <w:rsid w:val="00075E92"/>
    <w:rsid w:val="00080F1C"/>
    <w:rsid w:val="000844D7"/>
    <w:rsid w:val="000845FA"/>
    <w:rsid w:val="000849B0"/>
    <w:rsid w:val="000A00FD"/>
    <w:rsid w:val="000A0277"/>
    <w:rsid w:val="000A3805"/>
    <w:rsid w:val="000A5453"/>
    <w:rsid w:val="000B1C5E"/>
    <w:rsid w:val="000B2104"/>
    <w:rsid w:val="000B70DF"/>
    <w:rsid w:val="000C377D"/>
    <w:rsid w:val="000C3A3F"/>
    <w:rsid w:val="000D52AC"/>
    <w:rsid w:val="000D6986"/>
    <w:rsid w:val="000D7A1A"/>
    <w:rsid w:val="000D7EDD"/>
    <w:rsid w:val="000E1F43"/>
    <w:rsid w:val="000F6AA6"/>
    <w:rsid w:val="001039C2"/>
    <w:rsid w:val="0013005B"/>
    <w:rsid w:val="001332BC"/>
    <w:rsid w:val="0013581D"/>
    <w:rsid w:val="00162DBF"/>
    <w:rsid w:val="0016365F"/>
    <w:rsid w:val="00177563"/>
    <w:rsid w:val="0018657D"/>
    <w:rsid w:val="00190267"/>
    <w:rsid w:val="001907ED"/>
    <w:rsid w:val="00192165"/>
    <w:rsid w:val="001929CE"/>
    <w:rsid w:val="001A25CE"/>
    <w:rsid w:val="001B13D1"/>
    <w:rsid w:val="001B19B7"/>
    <w:rsid w:val="001B7CA9"/>
    <w:rsid w:val="001E226E"/>
    <w:rsid w:val="001E2BB0"/>
    <w:rsid w:val="001F13B0"/>
    <w:rsid w:val="00201473"/>
    <w:rsid w:val="00203AF8"/>
    <w:rsid w:val="00204F1E"/>
    <w:rsid w:val="00217125"/>
    <w:rsid w:val="002213B5"/>
    <w:rsid w:val="0022329B"/>
    <w:rsid w:val="00227F58"/>
    <w:rsid w:val="002343E2"/>
    <w:rsid w:val="00236C72"/>
    <w:rsid w:val="00241149"/>
    <w:rsid w:val="00256AB2"/>
    <w:rsid w:val="00257B5E"/>
    <w:rsid w:val="002657A7"/>
    <w:rsid w:val="00270FE4"/>
    <w:rsid w:val="0027422E"/>
    <w:rsid w:val="00275404"/>
    <w:rsid w:val="002777DB"/>
    <w:rsid w:val="00284441"/>
    <w:rsid w:val="002844F8"/>
    <w:rsid w:val="00286A23"/>
    <w:rsid w:val="00287A28"/>
    <w:rsid w:val="002B1714"/>
    <w:rsid w:val="002B4876"/>
    <w:rsid w:val="002D0958"/>
    <w:rsid w:val="002D0DFD"/>
    <w:rsid w:val="002D7C82"/>
    <w:rsid w:val="002E2B77"/>
    <w:rsid w:val="002E4EAC"/>
    <w:rsid w:val="002E58EF"/>
    <w:rsid w:val="003027DE"/>
    <w:rsid w:val="00310123"/>
    <w:rsid w:val="00311AEA"/>
    <w:rsid w:val="003139AB"/>
    <w:rsid w:val="003241DF"/>
    <w:rsid w:val="0032732D"/>
    <w:rsid w:val="003275E9"/>
    <w:rsid w:val="00335B95"/>
    <w:rsid w:val="00342494"/>
    <w:rsid w:val="00346E83"/>
    <w:rsid w:val="00347416"/>
    <w:rsid w:val="00351F19"/>
    <w:rsid w:val="003707DD"/>
    <w:rsid w:val="00376030"/>
    <w:rsid w:val="00381FF8"/>
    <w:rsid w:val="00384394"/>
    <w:rsid w:val="00384656"/>
    <w:rsid w:val="00391443"/>
    <w:rsid w:val="003931C1"/>
    <w:rsid w:val="003953D1"/>
    <w:rsid w:val="003B6272"/>
    <w:rsid w:val="003B7F2A"/>
    <w:rsid w:val="003C4830"/>
    <w:rsid w:val="003D45FD"/>
    <w:rsid w:val="003D57C6"/>
    <w:rsid w:val="003D745B"/>
    <w:rsid w:val="003D7541"/>
    <w:rsid w:val="003F5FB7"/>
    <w:rsid w:val="00405988"/>
    <w:rsid w:val="004345B7"/>
    <w:rsid w:val="004345B9"/>
    <w:rsid w:val="0043551D"/>
    <w:rsid w:val="00444C98"/>
    <w:rsid w:val="00450A13"/>
    <w:rsid w:val="00451886"/>
    <w:rsid w:val="004711E5"/>
    <w:rsid w:val="00471743"/>
    <w:rsid w:val="004758CE"/>
    <w:rsid w:val="004919E1"/>
    <w:rsid w:val="00493360"/>
    <w:rsid w:val="00496F5E"/>
    <w:rsid w:val="004A145A"/>
    <w:rsid w:val="004A2E96"/>
    <w:rsid w:val="004A6A6C"/>
    <w:rsid w:val="004B20B2"/>
    <w:rsid w:val="004B7325"/>
    <w:rsid w:val="004C1F88"/>
    <w:rsid w:val="004D2127"/>
    <w:rsid w:val="004D3FA4"/>
    <w:rsid w:val="004D50ED"/>
    <w:rsid w:val="004D5D1D"/>
    <w:rsid w:val="004E0128"/>
    <w:rsid w:val="004E62F7"/>
    <w:rsid w:val="004F02BB"/>
    <w:rsid w:val="004F660E"/>
    <w:rsid w:val="005011AC"/>
    <w:rsid w:val="00504338"/>
    <w:rsid w:val="00512570"/>
    <w:rsid w:val="00516265"/>
    <w:rsid w:val="00516931"/>
    <w:rsid w:val="00520C11"/>
    <w:rsid w:val="00526C42"/>
    <w:rsid w:val="00526D1F"/>
    <w:rsid w:val="00540E5E"/>
    <w:rsid w:val="00544CAA"/>
    <w:rsid w:val="00545380"/>
    <w:rsid w:val="0054570D"/>
    <w:rsid w:val="00555C83"/>
    <w:rsid w:val="00556180"/>
    <w:rsid w:val="00557330"/>
    <w:rsid w:val="005626AF"/>
    <w:rsid w:val="0057382C"/>
    <w:rsid w:val="00574629"/>
    <w:rsid w:val="005777C6"/>
    <w:rsid w:val="00586765"/>
    <w:rsid w:val="00587E66"/>
    <w:rsid w:val="005902A1"/>
    <w:rsid w:val="005B2CF2"/>
    <w:rsid w:val="005B6D08"/>
    <w:rsid w:val="005B7B05"/>
    <w:rsid w:val="005D3AC4"/>
    <w:rsid w:val="005D403A"/>
    <w:rsid w:val="005D44A9"/>
    <w:rsid w:val="00602962"/>
    <w:rsid w:val="006049BE"/>
    <w:rsid w:val="00605C01"/>
    <w:rsid w:val="00610313"/>
    <w:rsid w:val="0062225C"/>
    <w:rsid w:val="006348D4"/>
    <w:rsid w:val="0063565E"/>
    <w:rsid w:val="00635C60"/>
    <w:rsid w:val="00643E0B"/>
    <w:rsid w:val="00643FFF"/>
    <w:rsid w:val="00651CFE"/>
    <w:rsid w:val="00653BDD"/>
    <w:rsid w:val="0065763A"/>
    <w:rsid w:val="00663AEC"/>
    <w:rsid w:val="00666EAA"/>
    <w:rsid w:val="006700EE"/>
    <w:rsid w:val="0067511E"/>
    <w:rsid w:val="006766CE"/>
    <w:rsid w:val="00684288"/>
    <w:rsid w:val="00690772"/>
    <w:rsid w:val="006923CB"/>
    <w:rsid w:val="006929DA"/>
    <w:rsid w:val="006A5FE3"/>
    <w:rsid w:val="006B1D75"/>
    <w:rsid w:val="006B296C"/>
    <w:rsid w:val="006B594D"/>
    <w:rsid w:val="006C06F2"/>
    <w:rsid w:val="006C37A1"/>
    <w:rsid w:val="006C5187"/>
    <w:rsid w:val="006E71B5"/>
    <w:rsid w:val="00707E34"/>
    <w:rsid w:val="00713E08"/>
    <w:rsid w:val="007308B4"/>
    <w:rsid w:val="0073310A"/>
    <w:rsid w:val="00733686"/>
    <w:rsid w:val="007352B8"/>
    <w:rsid w:val="00737B9D"/>
    <w:rsid w:val="00746A57"/>
    <w:rsid w:val="00775C46"/>
    <w:rsid w:val="00777C55"/>
    <w:rsid w:val="00781BFE"/>
    <w:rsid w:val="007979DF"/>
    <w:rsid w:val="007A1A95"/>
    <w:rsid w:val="007A354F"/>
    <w:rsid w:val="007B5B25"/>
    <w:rsid w:val="007C3EB4"/>
    <w:rsid w:val="007C4412"/>
    <w:rsid w:val="007D2817"/>
    <w:rsid w:val="007D4E80"/>
    <w:rsid w:val="007D6F55"/>
    <w:rsid w:val="007E4EDC"/>
    <w:rsid w:val="007F11C6"/>
    <w:rsid w:val="007F6412"/>
    <w:rsid w:val="00816528"/>
    <w:rsid w:val="008205DC"/>
    <w:rsid w:val="0082402B"/>
    <w:rsid w:val="00827644"/>
    <w:rsid w:val="00830BED"/>
    <w:rsid w:val="008455A4"/>
    <w:rsid w:val="00847B52"/>
    <w:rsid w:val="00847FEF"/>
    <w:rsid w:val="00856642"/>
    <w:rsid w:val="008731EC"/>
    <w:rsid w:val="00877A24"/>
    <w:rsid w:val="0088038A"/>
    <w:rsid w:val="00883E7F"/>
    <w:rsid w:val="00885115"/>
    <w:rsid w:val="00885D57"/>
    <w:rsid w:val="00887BD7"/>
    <w:rsid w:val="008A30CF"/>
    <w:rsid w:val="008A323F"/>
    <w:rsid w:val="008A3A07"/>
    <w:rsid w:val="008A5B4C"/>
    <w:rsid w:val="008B4D1A"/>
    <w:rsid w:val="008C0CE0"/>
    <w:rsid w:val="008C1FB8"/>
    <w:rsid w:val="008C4F66"/>
    <w:rsid w:val="008D26B7"/>
    <w:rsid w:val="008D3009"/>
    <w:rsid w:val="008D319A"/>
    <w:rsid w:val="008E570F"/>
    <w:rsid w:val="008E79BA"/>
    <w:rsid w:val="00903FAA"/>
    <w:rsid w:val="00904928"/>
    <w:rsid w:val="009055B7"/>
    <w:rsid w:val="00914717"/>
    <w:rsid w:val="0092763B"/>
    <w:rsid w:val="009409BD"/>
    <w:rsid w:val="00940A58"/>
    <w:rsid w:val="00943AB5"/>
    <w:rsid w:val="00952134"/>
    <w:rsid w:val="00952CD9"/>
    <w:rsid w:val="00954144"/>
    <w:rsid w:val="0096346A"/>
    <w:rsid w:val="009649E6"/>
    <w:rsid w:val="00965F93"/>
    <w:rsid w:val="00981278"/>
    <w:rsid w:val="0098316C"/>
    <w:rsid w:val="00983306"/>
    <w:rsid w:val="00983D9C"/>
    <w:rsid w:val="00984775"/>
    <w:rsid w:val="0099233C"/>
    <w:rsid w:val="009A0B59"/>
    <w:rsid w:val="009A2005"/>
    <w:rsid w:val="009A3DFB"/>
    <w:rsid w:val="009A7E09"/>
    <w:rsid w:val="009B1580"/>
    <w:rsid w:val="009B344F"/>
    <w:rsid w:val="009B588E"/>
    <w:rsid w:val="009C1119"/>
    <w:rsid w:val="009C57EE"/>
    <w:rsid w:val="009C6136"/>
    <w:rsid w:val="009E1B17"/>
    <w:rsid w:val="009E3664"/>
    <w:rsid w:val="009E4D25"/>
    <w:rsid w:val="00A3218A"/>
    <w:rsid w:val="00A40285"/>
    <w:rsid w:val="00A44D44"/>
    <w:rsid w:val="00A44E2A"/>
    <w:rsid w:val="00A46B53"/>
    <w:rsid w:val="00A67C90"/>
    <w:rsid w:val="00A71DA7"/>
    <w:rsid w:val="00A74A7A"/>
    <w:rsid w:val="00A8677C"/>
    <w:rsid w:val="00A87548"/>
    <w:rsid w:val="00A9610D"/>
    <w:rsid w:val="00A967AC"/>
    <w:rsid w:val="00A979EA"/>
    <w:rsid w:val="00AB1436"/>
    <w:rsid w:val="00AB6431"/>
    <w:rsid w:val="00AD1064"/>
    <w:rsid w:val="00AD5DED"/>
    <w:rsid w:val="00AE6941"/>
    <w:rsid w:val="00B076D8"/>
    <w:rsid w:val="00B12894"/>
    <w:rsid w:val="00B13D11"/>
    <w:rsid w:val="00B2172C"/>
    <w:rsid w:val="00B22302"/>
    <w:rsid w:val="00B23AAE"/>
    <w:rsid w:val="00B25D5F"/>
    <w:rsid w:val="00B26A19"/>
    <w:rsid w:val="00B329E8"/>
    <w:rsid w:val="00B33029"/>
    <w:rsid w:val="00B41281"/>
    <w:rsid w:val="00B427DA"/>
    <w:rsid w:val="00B43609"/>
    <w:rsid w:val="00B547F1"/>
    <w:rsid w:val="00B6181E"/>
    <w:rsid w:val="00B64A3E"/>
    <w:rsid w:val="00B70AF3"/>
    <w:rsid w:val="00B85F08"/>
    <w:rsid w:val="00B9078E"/>
    <w:rsid w:val="00B94430"/>
    <w:rsid w:val="00B95634"/>
    <w:rsid w:val="00BD106C"/>
    <w:rsid w:val="00BD69B5"/>
    <w:rsid w:val="00BD7DCD"/>
    <w:rsid w:val="00BE67BA"/>
    <w:rsid w:val="00C0666A"/>
    <w:rsid w:val="00C07E2A"/>
    <w:rsid w:val="00C139B2"/>
    <w:rsid w:val="00C167DC"/>
    <w:rsid w:val="00C30D44"/>
    <w:rsid w:val="00C3209D"/>
    <w:rsid w:val="00C325E0"/>
    <w:rsid w:val="00C33BCF"/>
    <w:rsid w:val="00C51615"/>
    <w:rsid w:val="00C51B36"/>
    <w:rsid w:val="00C53872"/>
    <w:rsid w:val="00C63539"/>
    <w:rsid w:val="00C70E43"/>
    <w:rsid w:val="00C71790"/>
    <w:rsid w:val="00C7222D"/>
    <w:rsid w:val="00C725ED"/>
    <w:rsid w:val="00C74297"/>
    <w:rsid w:val="00C81368"/>
    <w:rsid w:val="00C94AD0"/>
    <w:rsid w:val="00CA50E7"/>
    <w:rsid w:val="00CB385F"/>
    <w:rsid w:val="00CB64F1"/>
    <w:rsid w:val="00CE044D"/>
    <w:rsid w:val="00CE08A4"/>
    <w:rsid w:val="00CE1824"/>
    <w:rsid w:val="00CF08AF"/>
    <w:rsid w:val="00D00A06"/>
    <w:rsid w:val="00D00E5F"/>
    <w:rsid w:val="00D01F4F"/>
    <w:rsid w:val="00D01F61"/>
    <w:rsid w:val="00D13908"/>
    <w:rsid w:val="00D14176"/>
    <w:rsid w:val="00D14DC7"/>
    <w:rsid w:val="00D15CC5"/>
    <w:rsid w:val="00D23E16"/>
    <w:rsid w:val="00D32523"/>
    <w:rsid w:val="00D3701A"/>
    <w:rsid w:val="00D45D83"/>
    <w:rsid w:val="00D46194"/>
    <w:rsid w:val="00D544B2"/>
    <w:rsid w:val="00D635C4"/>
    <w:rsid w:val="00D660AA"/>
    <w:rsid w:val="00D66A3C"/>
    <w:rsid w:val="00D70023"/>
    <w:rsid w:val="00D7089E"/>
    <w:rsid w:val="00D77285"/>
    <w:rsid w:val="00DA4CD0"/>
    <w:rsid w:val="00DB2F00"/>
    <w:rsid w:val="00DB33B0"/>
    <w:rsid w:val="00DC28CB"/>
    <w:rsid w:val="00DC3237"/>
    <w:rsid w:val="00DD12BF"/>
    <w:rsid w:val="00DD2623"/>
    <w:rsid w:val="00DE3464"/>
    <w:rsid w:val="00DE7094"/>
    <w:rsid w:val="00DF1B7C"/>
    <w:rsid w:val="00E003F8"/>
    <w:rsid w:val="00E04FC5"/>
    <w:rsid w:val="00E07968"/>
    <w:rsid w:val="00E10EDA"/>
    <w:rsid w:val="00E112A6"/>
    <w:rsid w:val="00E11664"/>
    <w:rsid w:val="00E20FD2"/>
    <w:rsid w:val="00E46575"/>
    <w:rsid w:val="00E5219A"/>
    <w:rsid w:val="00E54119"/>
    <w:rsid w:val="00E5675C"/>
    <w:rsid w:val="00E5703C"/>
    <w:rsid w:val="00E61766"/>
    <w:rsid w:val="00E62266"/>
    <w:rsid w:val="00E65B7B"/>
    <w:rsid w:val="00E75D56"/>
    <w:rsid w:val="00E76323"/>
    <w:rsid w:val="00E77E60"/>
    <w:rsid w:val="00E80A75"/>
    <w:rsid w:val="00E85E43"/>
    <w:rsid w:val="00E8736F"/>
    <w:rsid w:val="00E96E59"/>
    <w:rsid w:val="00EA2404"/>
    <w:rsid w:val="00EA5962"/>
    <w:rsid w:val="00EB3B8F"/>
    <w:rsid w:val="00EB5E83"/>
    <w:rsid w:val="00EC5AD6"/>
    <w:rsid w:val="00EC7A03"/>
    <w:rsid w:val="00EE44ED"/>
    <w:rsid w:val="00EE4FE5"/>
    <w:rsid w:val="00F00C58"/>
    <w:rsid w:val="00F01722"/>
    <w:rsid w:val="00F020BE"/>
    <w:rsid w:val="00F06737"/>
    <w:rsid w:val="00F1265F"/>
    <w:rsid w:val="00F13401"/>
    <w:rsid w:val="00F14D5E"/>
    <w:rsid w:val="00F219FB"/>
    <w:rsid w:val="00F228D1"/>
    <w:rsid w:val="00F243F7"/>
    <w:rsid w:val="00F274B6"/>
    <w:rsid w:val="00F44792"/>
    <w:rsid w:val="00F45520"/>
    <w:rsid w:val="00F46CFB"/>
    <w:rsid w:val="00F47E80"/>
    <w:rsid w:val="00F51834"/>
    <w:rsid w:val="00F524FF"/>
    <w:rsid w:val="00F54B60"/>
    <w:rsid w:val="00F62E4A"/>
    <w:rsid w:val="00F631DF"/>
    <w:rsid w:val="00F65A39"/>
    <w:rsid w:val="00F74284"/>
    <w:rsid w:val="00F746A6"/>
    <w:rsid w:val="00F8331A"/>
    <w:rsid w:val="00F87F84"/>
    <w:rsid w:val="00F91ED1"/>
    <w:rsid w:val="00F9423A"/>
    <w:rsid w:val="00F97C4B"/>
    <w:rsid w:val="00FA1BE6"/>
    <w:rsid w:val="00FA3D5B"/>
    <w:rsid w:val="00FA4D48"/>
    <w:rsid w:val="00FA75D2"/>
    <w:rsid w:val="00FB2977"/>
    <w:rsid w:val="00FB45B6"/>
    <w:rsid w:val="00FB4E04"/>
    <w:rsid w:val="00FB50A7"/>
    <w:rsid w:val="00FB667E"/>
    <w:rsid w:val="00FC1EC6"/>
    <w:rsid w:val="00FC2077"/>
    <w:rsid w:val="00FC7181"/>
    <w:rsid w:val="00FC7E9A"/>
    <w:rsid w:val="00FD1B43"/>
    <w:rsid w:val="00FD5D7E"/>
    <w:rsid w:val="00FF0F4A"/>
    <w:rsid w:val="00FF59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A39BFA-800C-4707-A2C1-DB09173E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00E5F"/>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0E5F"/>
    <w:rPr>
      <w:rFonts w:asciiTheme="majorHAnsi" w:eastAsiaTheme="majorEastAsia" w:hAnsiTheme="majorHAnsi" w:cstheme="majorBidi"/>
      <w:b/>
      <w:bCs/>
      <w:color w:val="5A5C5E" w:themeColor="accent1" w:themeShade="BF"/>
      <w:sz w:val="28"/>
      <w:szCs w:val="28"/>
    </w:rPr>
  </w:style>
  <w:style w:type="paragraph" w:styleId="Subttulo">
    <w:name w:val="Subtitle"/>
    <w:basedOn w:val="Normal"/>
    <w:next w:val="Normal"/>
    <w:link w:val="SubttuloCar"/>
    <w:uiPriority w:val="11"/>
    <w:qFormat/>
    <w:rsid w:val="00D00E5F"/>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tuloCar">
    <w:name w:val="Subtítulo Car"/>
    <w:basedOn w:val="Fuentedeprrafopredeter"/>
    <w:link w:val="Subttulo"/>
    <w:uiPriority w:val="11"/>
    <w:rsid w:val="00D00E5F"/>
    <w:rPr>
      <w:rFonts w:asciiTheme="majorHAnsi" w:eastAsiaTheme="majorEastAsia" w:hAnsiTheme="majorHAnsi" w:cstheme="majorBidi"/>
      <w:i/>
      <w:iCs/>
      <w:color w:val="797B7E" w:themeColor="accent1"/>
      <w:spacing w:val="15"/>
      <w:sz w:val="24"/>
      <w:szCs w:val="24"/>
    </w:rPr>
  </w:style>
  <w:style w:type="paragraph" w:styleId="Citadestacada">
    <w:name w:val="Intense Quote"/>
    <w:basedOn w:val="Normal"/>
    <w:next w:val="Normal"/>
    <w:link w:val="CitadestacadaCar"/>
    <w:uiPriority w:val="30"/>
    <w:qFormat/>
    <w:rsid w:val="00D00E5F"/>
    <w:pPr>
      <w:pBdr>
        <w:bottom w:val="single" w:sz="4" w:space="4" w:color="797B7E" w:themeColor="accent1"/>
      </w:pBdr>
      <w:spacing w:before="200" w:after="280"/>
      <w:ind w:left="936" w:right="936"/>
    </w:pPr>
    <w:rPr>
      <w:b/>
      <w:bCs/>
      <w:i/>
      <w:iCs/>
      <w:color w:val="797B7E" w:themeColor="accent1"/>
    </w:rPr>
  </w:style>
  <w:style w:type="character" w:customStyle="1" w:styleId="CitadestacadaCar">
    <w:name w:val="Cita destacada Car"/>
    <w:basedOn w:val="Fuentedeprrafopredeter"/>
    <w:link w:val="Citadestacada"/>
    <w:uiPriority w:val="30"/>
    <w:rsid w:val="00D00E5F"/>
    <w:rPr>
      <w:b/>
      <w:bCs/>
      <w:i/>
      <w:iCs/>
      <w:color w:val="797B7E" w:themeColor="accent1"/>
    </w:rPr>
  </w:style>
  <w:style w:type="paragraph" w:styleId="Prrafodelista">
    <w:name w:val="List Paragraph"/>
    <w:basedOn w:val="Normal"/>
    <w:uiPriority w:val="34"/>
    <w:qFormat/>
    <w:rsid w:val="00D00E5F"/>
    <w:pPr>
      <w:ind w:left="720"/>
      <w:contextualSpacing/>
    </w:pPr>
  </w:style>
  <w:style w:type="paragraph" w:styleId="Textodeglobo">
    <w:name w:val="Balloon Text"/>
    <w:basedOn w:val="Normal"/>
    <w:link w:val="TextodegloboCar"/>
    <w:uiPriority w:val="99"/>
    <w:semiHidden/>
    <w:unhideWhenUsed/>
    <w:rsid w:val="00EA24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404"/>
    <w:rPr>
      <w:rFonts w:ascii="Tahoma" w:hAnsi="Tahoma" w:cs="Tahoma"/>
      <w:sz w:val="16"/>
      <w:szCs w:val="16"/>
    </w:rPr>
  </w:style>
  <w:style w:type="paragraph" w:styleId="Encabezado">
    <w:name w:val="header"/>
    <w:basedOn w:val="Normal"/>
    <w:link w:val="EncabezadoCar"/>
    <w:uiPriority w:val="99"/>
    <w:unhideWhenUsed/>
    <w:rsid w:val="00EA24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404"/>
  </w:style>
  <w:style w:type="paragraph" w:styleId="Piedepgina">
    <w:name w:val="footer"/>
    <w:basedOn w:val="Normal"/>
    <w:link w:val="PiedepginaCar"/>
    <w:uiPriority w:val="99"/>
    <w:unhideWhenUsed/>
    <w:rsid w:val="00EA24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404"/>
  </w:style>
  <w:style w:type="paragraph" w:styleId="TtulodeTDC">
    <w:name w:val="TOC Heading"/>
    <w:basedOn w:val="Ttulo1"/>
    <w:next w:val="Normal"/>
    <w:uiPriority w:val="39"/>
    <w:unhideWhenUsed/>
    <w:qFormat/>
    <w:rsid w:val="00D14DC7"/>
    <w:pPr>
      <w:spacing w:before="240" w:line="259" w:lineRule="auto"/>
      <w:outlineLvl w:val="9"/>
    </w:pPr>
    <w:rPr>
      <w:b w:val="0"/>
      <w:bCs w:val="0"/>
      <w:sz w:val="32"/>
      <w:szCs w:val="32"/>
      <w:lang w:eastAsia="es-MX"/>
    </w:rPr>
  </w:style>
  <w:style w:type="paragraph" w:styleId="TDC2">
    <w:name w:val="toc 2"/>
    <w:basedOn w:val="Normal"/>
    <w:next w:val="Normal"/>
    <w:autoRedefine/>
    <w:uiPriority w:val="39"/>
    <w:unhideWhenUsed/>
    <w:rsid w:val="00D14DC7"/>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D14DC7"/>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D14DC7"/>
    <w:pPr>
      <w:spacing w:after="100" w:line="259" w:lineRule="auto"/>
      <w:ind w:left="440"/>
    </w:pPr>
    <w:rPr>
      <w:rFonts w:eastAsiaTheme="minorEastAsia" w:cs="Times New Roman"/>
      <w:lang w:eastAsia="es-MX"/>
    </w:rPr>
  </w:style>
  <w:style w:type="character" w:styleId="Hipervnculo">
    <w:name w:val="Hyperlink"/>
    <w:basedOn w:val="Fuentedeprrafopredeter"/>
    <w:uiPriority w:val="99"/>
    <w:unhideWhenUsed/>
    <w:rsid w:val="00D14DC7"/>
    <w:rPr>
      <w:color w:val="5F5F5F" w:themeColor="hyperlink"/>
      <w:u w:val="single"/>
    </w:rPr>
  </w:style>
  <w:style w:type="table" w:styleId="Tablaconcuadrcula">
    <w:name w:val="Table Grid"/>
    <w:basedOn w:val="Tablanormal"/>
    <w:uiPriority w:val="39"/>
    <w:rsid w:val="009C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nfasis5">
    <w:name w:val="Grid Table 7 Colorful Accent 5"/>
    <w:basedOn w:val="Tablanormal"/>
    <w:uiPriority w:val="52"/>
    <w:rsid w:val="008E570F"/>
    <w:pPr>
      <w:spacing w:after="0" w:line="240" w:lineRule="auto"/>
    </w:pPr>
    <w:rPr>
      <w:color w:val="A38457" w:themeColor="accent5" w:themeShade="BF"/>
    </w:r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EE8" w:themeFill="accent5" w:themeFillTint="33"/>
      </w:tcPr>
    </w:tblStylePr>
    <w:tblStylePr w:type="band1Horz">
      <w:tblPr/>
      <w:tcPr>
        <w:shd w:val="clear" w:color="auto" w:fill="F2EEE8" w:themeFill="accent5" w:themeFillTint="33"/>
      </w:tcPr>
    </w:tblStylePr>
    <w:tblStylePr w:type="neCell">
      <w:tblPr/>
      <w:tcPr>
        <w:tcBorders>
          <w:bottom w:val="single" w:sz="4" w:space="0" w:color="DACDBA" w:themeColor="accent5" w:themeTint="99"/>
        </w:tcBorders>
      </w:tcPr>
    </w:tblStylePr>
    <w:tblStylePr w:type="nwCell">
      <w:tblPr/>
      <w:tcPr>
        <w:tcBorders>
          <w:bottom w:val="single" w:sz="4" w:space="0" w:color="DACDBA" w:themeColor="accent5" w:themeTint="99"/>
        </w:tcBorders>
      </w:tcPr>
    </w:tblStylePr>
    <w:tblStylePr w:type="seCell">
      <w:tblPr/>
      <w:tcPr>
        <w:tcBorders>
          <w:top w:val="single" w:sz="4" w:space="0" w:color="DACDBA" w:themeColor="accent5" w:themeTint="99"/>
        </w:tcBorders>
      </w:tcPr>
    </w:tblStylePr>
    <w:tblStylePr w:type="swCell">
      <w:tblPr/>
      <w:tcPr>
        <w:tcBorders>
          <w:top w:val="single" w:sz="4" w:space="0" w:color="DACDBA" w:themeColor="accent5" w:themeTint="99"/>
        </w:tcBorders>
      </w:tcPr>
    </w:tblStylePr>
  </w:style>
  <w:style w:type="table" w:styleId="Tabladelista1clara-nfasis5">
    <w:name w:val="List Table 1 Light Accent 5"/>
    <w:basedOn w:val="Tablanormal"/>
    <w:uiPriority w:val="46"/>
    <w:rsid w:val="008E570F"/>
    <w:pPr>
      <w:spacing w:after="0" w:line="240" w:lineRule="auto"/>
    </w:pPr>
    <w:tblPr>
      <w:tblStyleRowBandSize w:val="1"/>
      <w:tblStyleColBandSize w:val="1"/>
    </w:tblPr>
    <w:tblStylePr w:type="firstRow">
      <w:rPr>
        <w:b/>
        <w:bCs/>
      </w:rPr>
      <w:tblPr/>
      <w:tcPr>
        <w:tcBorders>
          <w:bottom w:val="single" w:sz="4" w:space="0" w:color="DACDBA" w:themeColor="accent5" w:themeTint="99"/>
        </w:tcBorders>
      </w:tcPr>
    </w:tblStylePr>
    <w:tblStylePr w:type="lastRow">
      <w:rPr>
        <w:b/>
        <w:bCs/>
      </w:rPr>
      <w:tblPr/>
      <w:tcPr>
        <w:tcBorders>
          <w:top w:val="single" w:sz="4" w:space="0" w:color="DACDBA" w:themeColor="accent5" w:themeTint="99"/>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styleId="Tablanormal2">
    <w:name w:val="Plain Table 2"/>
    <w:basedOn w:val="Tablanormal"/>
    <w:uiPriority w:val="42"/>
    <w:rsid w:val="008E57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3F5F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3-nfasis5">
    <w:name w:val="Grid Table 3 Accent 5"/>
    <w:basedOn w:val="Tablanormal"/>
    <w:uiPriority w:val="48"/>
    <w:rsid w:val="003F5FB7"/>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EE8" w:themeFill="accent5" w:themeFillTint="33"/>
      </w:tcPr>
    </w:tblStylePr>
    <w:tblStylePr w:type="band1Horz">
      <w:tblPr/>
      <w:tcPr>
        <w:shd w:val="clear" w:color="auto" w:fill="F2EEE8" w:themeFill="accent5" w:themeFillTint="33"/>
      </w:tcPr>
    </w:tblStylePr>
    <w:tblStylePr w:type="neCell">
      <w:tblPr/>
      <w:tcPr>
        <w:tcBorders>
          <w:bottom w:val="single" w:sz="4" w:space="0" w:color="DACDBA" w:themeColor="accent5" w:themeTint="99"/>
        </w:tcBorders>
      </w:tcPr>
    </w:tblStylePr>
    <w:tblStylePr w:type="nwCell">
      <w:tblPr/>
      <w:tcPr>
        <w:tcBorders>
          <w:bottom w:val="single" w:sz="4" w:space="0" w:color="DACDBA" w:themeColor="accent5" w:themeTint="99"/>
        </w:tcBorders>
      </w:tcPr>
    </w:tblStylePr>
    <w:tblStylePr w:type="seCell">
      <w:tblPr/>
      <w:tcPr>
        <w:tcBorders>
          <w:top w:val="single" w:sz="4" w:space="0" w:color="DACDBA" w:themeColor="accent5" w:themeTint="99"/>
        </w:tcBorders>
      </w:tcPr>
    </w:tblStylePr>
    <w:tblStylePr w:type="swCell">
      <w:tblPr/>
      <w:tcPr>
        <w:tcBorders>
          <w:top w:val="single" w:sz="4" w:space="0" w:color="DACDBA" w:themeColor="accent5" w:themeTint="99"/>
        </w:tcBorders>
      </w:tcPr>
    </w:tblStylePr>
  </w:style>
  <w:style w:type="table" w:styleId="Tablanormal3">
    <w:name w:val="Plain Table 3"/>
    <w:basedOn w:val="Tablanormal"/>
    <w:uiPriority w:val="43"/>
    <w:rsid w:val="003F5F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5011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5011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ennegrita">
    <w:name w:val="Strong"/>
    <w:basedOn w:val="Fuentedeprrafopredeter"/>
    <w:uiPriority w:val="22"/>
    <w:qFormat/>
    <w:rsid w:val="0013005B"/>
    <w:rPr>
      <w:b/>
      <w:bCs/>
    </w:rPr>
  </w:style>
  <w:style w:type="paragraph" w:styleId="NormalWeb">
    <w:name w:val="Normal (Web)"/>
    <w:basedOn w:val="Normal"/>
    <w:uiPriority w:val="99"/>
    <w:semiHidden/>
    <w:unhideWhenUsed/>
    <w:rsid w:val="00877A2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98909">
      <w:bodyDiv w:val="1"/>
      <w:marLeft w:val="0"/>
      <w:marRight w:val="0"/>
      <w:marTop w:val="0"/>
      <w:marBottom w:val="0"/>
      <w:divBdr>
        <w:top w:val="none" w:sz="0" w:space="0" w:color="auto"/>
        <w:left w:val="none" w:sz="0" w:space="0" w:color="auto"/>
        <w:bottom w:val="none" w:sz="0" w:space="0" w:color="auto"/>
        <w:right w:val="none" w:sz="0" w:space="0" w:color="auto"/>
      </w:divBdr>
    </w:div>
    <w:div w:id="597176989">
      <w:bodyDiv w:val="1"/>
      <w:marLeft w:val="0"/>
      <w:marRight w:val="0"/>
      <w:marTop w:val="0"/>
      <w:marBottom w:val="0"/>
      <w:divBdr>
        <w:top w:val="none" w:sz="0" w:space="0" w:color="auto"/>
        <w:left w:val="none" w:sz="0" w:space="0" w:color="auto"/>
        <w:bottom w:val="none" w:sz="0" w:space="0" w:color="auto"/>
        <w:right w:val="none" w:sz="0" w:space="0" w:color="auto"/>
      </w:divBdr>
    </w:div>
    <w:div w:id="807210406">
      <w:bodyDiv w:val="1"/>
      <w:marLeft w:val="0"/>
      <w:marRight w:val="0"/>
      <w:marTop w:val="0"/>
      <w:marBottom w:val="0"/>
      <w:divBdr>
        <w:top w:val="none" w:sz="0" w:space="0" w:color="auto"/>
        <w:left w:val="none" w:sz="0" w:space="0" w:color="auto"/>
        <w:bottom w:val="none" w:sz="0" w:space="0" w:color="auto"/>
        <w:right w:val="none" w:sz="0" w:space="0" w:color="auto"/>
      </w:divBdr>
    </w:div>
    <w:div w:id="894240874">
      <w:bodyDiv w:val="1"/>
      <w:marLeft w:val="0"/>
      <w:marRight w:val="0"/>
      <w:marTop w:val="0"/>
      <w:marBottom w:val="0"/>
      <w:divBdr>
        <w:top w:val="none" w:sz="0" w:space="0" w:color="auto"/>
        <w:left w:val="none" w:sz="0" w:space="0" w:color="auto"/>
        <w:bottom w:val="none" w:sz="0" w:space="0" w:color="auto"/>
        <w:right w:val="none" w:sz="0" w:space="0" w:color="auto"/>
      </w:divBdr>
    </w:div>
    <w:div w:id="939096635">
      <w:bodyDiv w:val="1"/>
      <w:marLeft w:val="0"/>
      <w:marRight w:val="0"/>
      <w:marTop w:val="0"/>
      <w:marBottom w:val="0"/>
      <w:divBdr>
        <w:top w:val="none" w:sz="0" w:space="0" w:color="auto"/>
        <w:left w:val="none" w:sz="0" w:space="0" w:color="auto"/>
        <w:bottom w:val="none" w:sz="0" w:space="0" w:color="auto"/>
        <w:right w:val="none" w:sz="0" w:space="0" w:color="auto"/>
      </w:divBdr>
    </w:div>
    <w:div w:id="1217005665">
      <w:bodyDiv w:val="1"/>
      <w:marLeft w:val="0"/>
      <w:marRight w:val="0"/>
      <w:marTop w:val="0"/>
      <w:marBottom w:val="0"/>
      <w:divBdr>
        <w:top w:val="none" w:sz="0" w:space="0" w:color="auto"/>
        <w:left w:val="none" w:sz="0" w:space="0" w:color="auto"/>
        <w:bottom w:val="none" w:sz="0" w:space="0" w:color="auto"/>
        <w:right w:val="none" w:sz="0" w:space="0" w:color="auto"/>
      </w:divBdr>
    </w:div>
    <w:div w:id="1266186104">
      <w:bodyDiv w:val="1"/>
      <w:marLeft w:val="0"/>
      <w:marRight w:val="0"/>
      <w:marTop w:val="0"/>
      <w:marBottom w:val="0"/>
      <w:divBdr>
        <w:top w:val="none" w:sz="0" w:space="0" w:color="auto"/>
        <w:left w:val="none" w:sz="0" w:space="0" w:color="auto"/>
        <w:bottom w:val="none" w:sz="0" w:space="0" w:color="auto"/>
        <w:right w:val="none" w:sz="0" w:space="0" w:color="auto"/>
      </w:divBdr>
    </w:div>
    <w:div w:id="140197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Ángulos">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Ángulo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Ángulo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F07F7-85AA-4950-B620-81D67733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264</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ReportePlan</vt:lpstr>
    </vt:vector>
  </TitlesOfParts>
  <Manager>DPyE</Manager>
  <Company>PJGto</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ReportePlan</dc:title>
  <dc:subject>Reporte Consolidado</dc:subject>
  <dc:creator>DDPyE</dc:creator>
  <cp:keywords>Seguimiento</cp:keywords>
  <dc:description>Plan, POA, PbR</dc:description>
  <cp:lastModifiedBy>PLANEACION</cp:lastModifiedBy>
  <cp:revision>2</cp:revision>
  <cp:lastPrinted>2018-04-19T17:38:00Z</cp:lastPrinted>
  <dcterms:created xsi:type="dcterms:W3CDTF">2020-10-22T17:57:00Z</dcterms:created>
  <dcterms:modified xsi:type="dcterms:W3CDTF">2020-10-22T17:57:00Z</dcterms:modified>
  <cp:category>Planeación</cp:category>
</cp:coreProperties>
</file>