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A8" w:rsidRPr="001B3FA8" w:rsidRDefault="00F65A39" w:rsidP="001B3FA8">
      <w:pPr>
        <w:pStyle w:val="Ttulo1"/>
        <w:spacing w:before="0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Actividades de la Coordinación de Planeación</w:t>
      </w:r>
      <w:r w:rsidR="00EB3B8F">
        <w:rPr>
          <w:rFonts w:ascii="Calibri Light" w:hAnsi="Calibri Light"/>
          <w:sz w:val="24"/>
          <w:szCs w:val="24"/>
        </w:rPr>
        <w:t xml:space="preserve"> </w:t>
      </w:r>
    </w:p>
    <w:p w:rsidR="00F65A39" w:rsidRDefault="00F65A39" w:rsidP="00F65A39"/>
    <w:p w:rsidR="0013005B" w:rsidRDefault="00C92176" w:rsidP="0043785E">
      <w:pPr>
        <w:spacing w:line="360" w:lineRule="auto"/>
        <w:jc w:val="both"/>
        <w:rPr>
          <w:rFonts w:ascii="Calibri Light" w:eastAsiaTheme="minorEastAsia" w:hAnsi="Calibri Light"/>
          <w:color w:val="000000" w:themeColor="text1"/>
          <w:kern w:val="24"/>
          <w:sz w:val="20"/>
          <w:szCs w:val="20"/>
        </w:rPr>
      </w:pP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Se trabaja en la elaboración del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Plan Estratégico del Poder Judicial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cada quinquenio, realizamos la 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>P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laneación y 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>Programación A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nual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 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de metas y objetivos 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para el Sistema de Evaluación al Desempeño de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áreas adjetivas y  sustantivas; iniciando con la actualización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Diagnóstico Particular del Poder Judicial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, la integración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Portafolio de Gasto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,  la revisión y/o actualización de la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Matriz de Indicadores </w:t>
      </w:r>
      <w:r w:rsidR="00D86A9A" w:rsidRPr="003D216E">
        <w:rPr>
          <w:rFonts w:ascii="Calibri Light" w:eastAsiaTheme="minorEastAsia" w:hAnsi="Calibri Light"/>
          <w:i/>
          <w:color w:val="000000" w:themeColor="text1"/>
          <w:kern w:val="24"/>
        </w:rPr>
        <w:t>para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 Resultados (MIR)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para lo cual se solicita a los 4 órganos auxiliares, 11 áreas administrativas y el Centro Estatal de Justicia Alternativa su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Programas Operativos Anual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es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(POA)  y de la misma forma 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>a la Coordinación de E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stadística se solicitan las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proyecciones estadísticas correspondientes a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las áreas jurisdiccionales, con ello se realiza el análisis de</w:t>
      </w:r>
      <w:r w:rsidR="00D86A9A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la serie de datos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, para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definir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indicadores, entregables y  meta a lograr para el año </w:t>
      </w:r>
      <w:r>
        <w:rPr>
          <w:rFonts w:ascii="Calibri Light" w:eastAsiaTheme="minorEastAsia" w:hAnsi="Calibri Light"/>
          <w:color w:val="000000" w:themeColor="text1"/>
          <w:kern w:val="24"/>
        </w:rPr>
        <w:t>siguiente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</w:t>
      </w:r>
      <w:r>
        <w:rPr>
          <w:rFonts w:ascii="Calibri Light" w:eastAsiaTheme="minorEastAsia" w:hAnsi="Calibri Light"/>
          <w:color w:val="000000" w:themeColor="text1"/>
          <w:kern w:val="24"/>
        </w:rPr>
        <w:t>Se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hace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la integración de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la </w:t>
      </w:r>
      <w:r w:rsidR="00D86A9A" w:rsidRPr="00D86A9A">
        <w:rPr>
          <w:rFonts w:ascii="Calibri Light" w:eastAsiaTheme="minorEastAsia" w:hAnsi="Calibri Light"/>
          <w:b/>
          <w:color w:val="000000" w:themeColor="text1"/>
          <w:kern w:val="24"/>
        </w:rPr>
        <w:t>Matriz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 de</w:t>
      </w:r>
      <w:r w:rsidR="0008342B" w:rsidRPr="0008342B">
        <w:rPr>
          <w:rFonts w:ascii="Calibri Light" w:eastAsiaTheme="minorEastAsia" w:hAnsi="Calibri Light"/>
          <w:b/>
          <w:color w:val="000000" w:themeColor="text1"/>
          <w:kern w:val="24"/>
        </w:rPr>
        <w:t xml:space="preserve"> Indicadores </w:t>
      </w:r>
      <w:r w:rsidR="00D86A9A" w:rsidRPr="003D216E">
        <w:rPr>
          <w:rFonts w:ascii="Calibri Light" w:eastAsiaTheme="minorEastAsia" w:hAnsi="Calibri Light"/>
          <w:b/>
          <w:color w:val="000000" w:themeColor="text1"/>
          <w:kern w:val="24"/>
        </w:rPr>
        <w:t>para Resultados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(MIR) del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 xml:space="preserve">Programa Presupuestario </w:t>
      </w:r>
      <w:r w:rsidRPr="003D216E">
        <w:rPr>
          <w:rStyle w:val="Textoennegrita"/>
          <w:rFonts w:ascii="Calibri Light" w:hAnsi="Calibri Light" w:cs="Helvetica"/>
          <w:b w:val="0"/>
          <w:i/>
          <w:color w:val="333333"/>
        </w:rPr>
        <w:t>Servicio de Impartición de Justicia y Solució</w:t>
      </w:r>
      <w:r w:rsidRPr="0008342B">
        <w:rPr>
          <w:rStyle w:val="Textoennegrita"/>
          <w:rFonts w:ascii="Calibri Light" w:hAnsi="Calibri Light" w:cs="Helvetica"/>
          <w:b w:val="0"/>
          <w:i/>
          <w:color w:val="333333"/>
        </w:rPr>
        <w:t>n de Controversias</w:t>
      </w:r>
      <w:r w:rsidRPr="0008342B">
        <w:rPr>
          <w:rStyle w:val="Textoennegrita"/>
          <w:rFonts w:ascii="Calibri Light" w:hAnsi="Calibri Light" w:cs="Helvetica"/>
          <w:b w:val="0"/>
          <w:color w:val="333333"/>
        </w:rPr>
        <w:t xml:space="preserve">,   la cual se pone  en consideración al Consejo del Poder Judicial para su validación y con ello se procede a </w:t>
      </w:r>
      <w:r w:rsidRPr="0008342B">
        <w:rPr>
          <w:rStyle w:val="Textoennegrita"/>
          <w:rFonts w:ascii="Calibri Light" w:hAnsi="Calibri Light" w:cs="Helvetica"/>
          <w:color w:val="333333"/>
        </w:rPr>
        <w:t>documentar los procesos, indicadores y entregables en el Sistema de Evaluación al Desempeño (SED)</w:t>
      </w:r>
      <w:r w:rsidRPr="0008342B">
        <w:rPr>
          <w:rStyle w:val="Textoennegrita"/>
          <w:rFonts w:ascii="Calibri Light" w:hAnsi="Calibri Light" w:cs="Helvetica"/>
          <w:b w:val="0"/>
          <w:color w:val="333333"/>
        </w:rPr>
        <w:t xml:space="preserve">.  Otra de las actividades en la coordinación es el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Seguimiento </w:t>
      </w:r>
      <w:r w:rsidR="00D86A9A" w:rsidRPr="003D216E">
        <w:rPr>
          <w:rFonts w:ascii="Calibri Light" w:eastAsiaTheme="minorEastAsia" w:hAnsi="Calibri Light"/>
          <w:b/>
          <w:color w:val="000000" w:themeColor="text1"/>
          <w:kern w:val="24"/>
        </w:rPr>
        <w:t>trimestral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 xml:space="preserve"> al de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Sistema de Evaluación al Desempeño</w:t>
      </w:r>
      <w:r w:rsidR="00D86A9A">
        <w:rPr>
          <w:rFonts w:ascii="Calibri Light" w:eastAsiaTheme="minorEastAsia" w:hAnsi="Calibri Light"/>
          <w:b/>
          <w:color w:val="000000" w:themeColor="text1"/>
          <w:kern w:val="24"/>
        </w:rPr>
        <w:t>.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="00D86A9A">
        <w:rPr>
          <w:rFonts w:ascii="Calibri Light" w:eastAsiaTheme="minorEastAsia" w:hAnsi="Calibri Light"/>
          <w:color w:val="000000" w:themeColor="text1"/>
          <w:kern w:val="24"/>
        </w:rPr>
        <w:t>S</w:t>
      </w:r>
      <w:r>
        <w:rPr>
          <w:rFonts w:ascii="Calibri Light" w:eastAsiaTheme="minorEastAsia" w:hAnsi="Calibri Light"/>
          <w:color w:val="000000" w:themeColor="text1"/>
          <w:kern w:val="24"/>
        </w:rPr>
        <w:t>e solicita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a los 4 órganos auxiliares, 11 áreas administrativas y el Centro Estatal de Justici</w:t>
      </w:r>
      <w:r>
        <w:rPr>
          <w:rFonts w:ascii="Calibri Light" w:eastAsiaTheme="minorEastAsia" w:hAnsi="Calibri Light"/>
          <w:color w:val="000000" w:themeColor="text1"/>
          <w:kern w:val="24"/>
        </w:rPr>
        <w:t>a Alternativa su avance en sus Programas O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perativos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Anuales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(POA)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y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a la Coordinación de Estadística </w:t>
      </w:r>
      <w:r>
        <w:rPr>
          <w:rFonts w:ascii="Calibri Light" w:eastAsiaTheme="minorEastAsia" w:hAnsi="Calibri Light"/>
          <w:color w:val="000000" w:themeColor="text1"/>
          <w:kern w:val="24"/>
        </w:rPr>
        <w:t>el avance en el trimestre de la estadística judicial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</w:t>
      </w:r>
      <w:r>
        <w:rPr>
          <w:rFonts w:ascii="Calibri Light" w:eastAsiaTheme="minorEastAsia" w:hAnsi="Calibri Light"/>
          <w:color w:val="000000" w:themeColor="text1"/>
          <w:kern w:val="24"/>
        </w:rPr>
        <w:t>Se da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Seguimiento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="0043785E"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anual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>al Plan Estratégico del PJEG 2024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 a través de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un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informe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que es entregado a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 xml:space="preserve"> Pres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idencia,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se documenta lo alcanzado en el año del plan vigente.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 Cada trimestre </w:t>
      </w:r>
      <w:r w:rsidRPr="0008342B">
        <w:rPr>
          <w:rFonts w:ascii="Calibri Light" w:eastAsiaTheme="minorEastAsia" w:hAnsi="Calibri Light"/>
          <w:b/>
          <w:color w:val="000000" w:themeColor="text1"/>
          <w:kern w:val="24"/>
        </w:rPr>
        <w:t>generamos los Reportes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: </w:t>
      </w:r>
      <w:r w:rsidRPr="0008342B">
        <w:rPr>
          <w:rFonts w:ascii="Calibri Light" w:eastAsiaTheme="minorEastAsia" w:hAnsi="Calibri Light"/>
          <w:i/>
          <w:color w:val="000000" w:themeColor="text1"/>
          <w:kern w:val="24"/>
        </w:rPr>
        <w:t xml:space="preserve">Indicadores de Resultados, Proyectos de Inversión </w:t>
      </w:r>
      <w:r w:rsidRPr="003D216E">
        <w:rPr>
          <w:rFonts w:ascii="Calibri Light" w:eastAsiaTheme="minorEastAsia" w:hAnsi="Calibri Light"/>
          <w:i/>
          <w:color w:val="000000" w:themeColor="text1"/>
          <w:kern w:val="24"/>
        </w:rPr>
        <w:t>y Evaluaciones al Desempeño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,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para </w:t>
      </w:r>
      <w:r>
        <w:rPr>
          <w:rFonts w:ascii="Calibri Light" w:eastAsiaTheme="minorEastAsia" w:hAnsi="Calibri Light"/>
          <w:color w:val="000000" w:themeColor="text1"/>
          <w:kern w:val="24"/>
        </w:rPr>
        <w:t xml:space="preserve">su integración en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Cuenta Pública.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Elaboramos el informe al </w:t>
      </w:r>
      <w:r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seguimiento </w:t>
      </w:r>
      <w:r w:rsidR="0043785E" w:rsidRPr="003D216E">
        <w:rPr>
          <w:rFonts w:ascii="Calibri Light" w:eastAsiaTheme="minorEastAsia" w:hAnsi="Calibri Light"/>
          <w:color w:val="000000" w:themeColor="text1"/>
          <w:kern w:val="24"/>
        </w:rPr>
        <w:t>de</w:t>
      </w:r>
      <w:r w:rsidR="0043785E" w:rsidRPr="003D216E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Pr="003D216E">
        <w:rPr>
          <w:rFonts w:ascii="Calibri Light" w:eastAsiaTheme="minorEastAsia" w:hAnsi="Calibri Light"/>
          <w:color w:val="000000" w:themeColor="text1"/>
          <w:kern w:val="24"/>
        </w:rPr>
        <w:t>cada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trimestre con el objetivo de dar a conocer a los integrantes del Consejo del Poder Judicial los avances en áreas sustantivas 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>y adjetivas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. Se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actualiza la información </w:t>
      </w:r>
      <w:r w:rsidR="00E656E5">
        <w:rPr>
          <w:rFonts w:ascii="Calibri Light" w:eastAsiaTheme="minorEastAsia" w:hAnsi="Calibri Light"/>
          <w:b/>
          <w:color w:val="000000" w:themeColor="text1"/>
          <w:kern w:val="24"/>
        </w:rPr>
        <w:t xml:space="preserve">en el </w:t>
      </w:r>
      <w:r w:rsidR="0043785E">
        <w:rPr>
          <w:rFonts w:ascii="Calibri Light" w:eastAsiaTheme="minorEastAsia" w:hAnsi="Calibri Light"/>
          <w:b/>
          <w:color w:val="000000" w:themeColor="text1"/>
          <w:kern w:val="24"/>
        </w:rPr>
        <w:t>s</w:t>
      </w:r>
      <w:r w:rsidR="0008342B" w:rsidRPr="00A95696">
        <w:rPr>
          <w:rFonts w:ascii="Calibri Light" w:eastAsiaTheme="minorEastAsia" w:hAnsi="Calibri Light"/>
          <w:b/>
          <w:color w:val="000000" w:themeColor="text1"/>
          <w:kern w:val="24"/>
        </w:rPr>
        <w:t>istema SAP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="00A95696">
        <w:rPr>
          <w:rFonts w:ascii="Calibri Light" w:eastAsiaTheme="minorEastAsia" w:hAnsi="Calibri Light"/>
          <w:color w:val="000000" w:themeColor="text1"/>
          <w:kern w:val="24"/>
        </w:rPr>
        <w:t xml:space="preserve">cada trimestre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de 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los </w:t>
      </w:r>
      <w:r w:rsidR="0008342B">
        <w:rPr>
          <w:rFonts w:ascii="Calibri Light" w:eastAsiaTheme="minorEastAsia" w:hAnsi="Calibri Light"/>
          <w:color w:val="000000" w:themeColor="text1"/>
          <w:kern w:val="24"/>
        </w:rPr>
        <w:t xml:space="preserve">avances en indicadores de resultados y proyectos de inversión, así como </w:t>
      </w:r>
      <w:r w:rsidR="00A95696" w:rsidRPr="00A95696">
        <w:rPr>
          <w:rFonts w:ascii="Calibri Light" w:eastAsiaTheme="minorEastAsia" w:hAnsi="Calibri Light"/>
          <w:b/>
          <w:color w:val="000000" w:themeColor="text1"/>
          <w:kern w:val="24"/>
        </w:rPr>
        <w:t>actualización en</w:t>
      </w:r>
      <w:r w:rsidR="0008342B"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INFOGRAPOA´S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, apoyando con ello a la transparencia y rendición de cuentas, ya que dicha inf</w:t>
      </w:r>
      <w:r>
        <w:rPr>
          <w:rFonts w:ascii="Calibri Light" w:eastAsiaTheme="minorEastAsia" w:hAnsi="Calibri Light"/>
          <w:color w:val="000000" w:themeColor="text1"/>
          <w:kern w:val="24"/>
        </w:rPr>
        <w:t>ormación se encuentra en la página</w:t>
      </w:r>
      <w:r w:rsidR="001B3FA8">
        <w:rPr>
          <w:rFonts w:ascii="Calibri Light" w:eastAsiaTheme="minorEastAsia" w:hAnsi="Calibri Light"/>
          <w:color w:val="000000" w:themeColor="text1"/>
          <w:kern w:val="24"/>
        </w:rPr>
        <w:t xml:space="preserve"> oficial del Poder Judicial,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sumando a lo anterior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 xml:space="preserve"> de manera anual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: se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documenta y adjunta formatos al Sistema de Portales de Obligaciones de Transparencia (SIPOT)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y se da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respuesta a las solicitudes de información correspondiente al área</w:t>
      </w:r>
      <w:r>
        <w:rPr>
          <w:rFonts w:ascii="Calibri Light" w:eastAsiaTheme="minorEastAsia" w:hAnsi="Calibri Light"/>
          <w:color w:val="000000" w:themeColor="text1"/>
          <w:kern w:val="24"/>
        </w:rPr>
        <w:t>,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de la Unidad de Acceso a la Información Pública. 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 xml:space="preserve">Apoyamos 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>a los titulares de los diferentes órganos auxiliares y área</w:t>
      </w:r>
      <w:bookmarkStart w:id="0" w:name="_GoBack"/>
      <w:bookmarkEnd w:id="0"/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s administrativas del Consejo </w:t>
      </w:r>
      <w:r w:rsidRPr="00A95696">
        <w:rPr>
          <w:rFonts w:ascii="Calibri Light" w:eastAsiaTheme="minorEastAsia" w:hAnsi="Calibri Light"/>
          <w:b/>
          <w:color w:val="000000" w:themeColor="text1"/>
          <w:kern w:val="24"/>
        </w:rPr>
        <w:t>en la elaboración, implementación y/o seguimiento</w:t>
      </w:r>
      <w:r w:rsidRPr="00F86383">
        <w:rPr>
          <w:rFonts w:ascii="Calibri Light" w:eastAsiaTheme="minorEastAsia" w:hAnsi="Calibri Light"/>
          <w:color w:val="000000" w:themeColor="text1"/>
          <w:kern w:val="24"/>
        </w:rPr>
        <w:t xml:space="preserve"> de proyectos. Se trabaja en la integración de información y contestación ante auditorías al desempeño externas</w:t>
      </w:r>
      <w:r w:rsidR="0043785E">
        <w:rPr>
          <w:rFonts w:ascii="Calibri Light" w:eastAsiaTheme="minorEastAsia" w:hAnsi="Calibri Light"/>
          <w:color w:val="000000" w:themeColor="text1"/>
          <w:kern w:val="24"/>
        </w:rPr>
        <w:t>.</w:t>
      </w:r>
    </w:p>
    <w:sectPr w:rsidR="0013005B" w:rsidSect="00C167DC">
      <w:headerReference w:type="default" r:id="rId8"/>
      <w:footerReference w:type="default" r:id="rId9"/>
      <w:pgSz w:w="12240" w:h="15840"/>
      <w:pgMar w:top="17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515" w:rsidRDefault="00EA6515" w:rsidP="00EA2404">
      <w:pPr>
        <w:spacing w:after="0" w:line="240" w:lineRule="auto"/>
      </w:pPr>
      <w:r>
        <w:separator/>
      </w:r>
    </w:p>
  </w:endnote>
  <w:endnote w:type="continuationSeparator" w:id="0">
    <w:p w:rsidR="00EA6515" w:rsidRDefault="00EA6515" w:rsidP="00E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  <w:sz w:val="20"/>
        <w:szCs w:val="20"/>
      </w:rPr>
      <w:id w:val="1298959708"/>
      <w:docPartObj>
        <w:docPartGallery w:val="Page Numbers (Bottom of Page)"/>
        <w:docPartUnique/>
      </w:docPartObj>
    </w:sdtPr>
    <w:sdtEndPr/>
    <w:sdtContent>
      <w:p w:rsidR="00FA1BE6" w:rsidRPr="006B1D75" w:rsidRDefault="00FA1BE6">
        <w:pPr>
          <w:pStyle w:val="Piedepgina"/>
          <w:jc w:val="right"/>
          <w:rPr>
            <w:rFonts w:ascii="Calibri Light" w:hAnsi="Calibri Light"/>
            <w:sz w:val="20"/>
            <w:szCs w:val="20"/>
          </w:rPr>
        </w:pPr>
        <w:r w:rsidRPr="006B1D75">
          <w:rPr>
            <w:rFonts w:ascii="Calibri Light" w:hAnsi="Calibri Light"/>
            <w:sz w:val="20"/>
            <w:szCs w:val="20"/>
          </w:rPr>
          <w:fldChar w:fldCharType="begin"/>
        </w:r>
        <w:r w:rsidRPr="006B1D75">
          <w:rPr>
            <w:rFonts w:ascii="Calibri Light" w:hAnsi="Calibri Light"/>
            <w:sz w:val="20"/>
            <w:szCs w:val="20"/>
          </w:rPr>
          <w:instrText>PAGE   \* MERGEFORMAT</w:instrText>
        </w:r>
        <w:r w:rsidRPr="006B1D75">
          <w:rPr>
            <w:rFonts w:ascii="Calibri Light" w:hAnsi="Calibri Light"/>
            <w:sz w:val="20"/>
            <w:szCs w:val="20"/>
          </w:rPr>
          <w:fldChar w:fldCharType="separate"/>
        </w:r>
        <w:r w:rsidR="00E656E5" w:rsidRPr="00E656E5">
          <w:rPr>
            <w:rFonts w:ascii="Calibri Light" w:hAnsi="Calibri Light"/>
            <w:noProof/>
            <w:sz w:val="20"/>
            <w:szCs w:val="20"/>
            <w:lang w:val="es-ES"/>
          </w:rPr>
          <w:t>1</w:t>
        </w:r>
        <w:r w:rsidRPr="006B1D75">
          <w:rPr>
            <w:rFonts w:ascii="Calibri Light" w:hAnsi="Calibri Light"/>
            <w:sz w:val="20"/>
            <w:szCs w:val="20"/>
          </w:rPr>
          <w:fldChar w:fldCharType="end"/>
        </w:r>
      </w:p>
    </w:sdtContent>
  </w:sdt>
  <w:p w:rsidR="00EA2404" w:rsidRPr="00EA2404" w:rsidRDefault="00EA2404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515" w:rsidRDefault="00EA6515" w:rsidP="00EA2404">
      <w:pPr>
        <w:spacing w:after="0" w:line="240" w:lineRule="auto"/>
      </w:pPr>
      <w:r>
        <w:separator/>
      </w:r>
    </w:p>
  </w:footnote>
  <w:footnote w:type="continuationSeparator" w:id="0">
    <w:p w:rsidR="00EA6515" w:rsidRDefault="00EA6515" w:rsidP="00EA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A8" w:rsidRDefault="001B3FA8">
    <w:pPr>
      <w:pStyle w:val="Encabezado"/>
      <w:rPr>
        <w:i/>
        <w:color w:val="797B7E" w:themeColor="accent1"/>
      </w:rPr>
    </w:pPr>
    <w:r w:rsidRPr="001B3FA8">
      <w:rPr>
        <w:i/>
        <w:noProof/>
        <w:color w:val="797B7E" w:themeColor="accent1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4744474</wp:posOffset>
          </wp:positionH>
          <wp:positionV relativeFrom="paragraph">
            <wp:posOffset>102</wp:posOffset>
          </wp:positionV>
          <wp:extent cx="986790" cy="534035"/>
          <wp:effectExtent l="0" t="0" r="3810" b="0"/>
          <wp:wrapThrough wrapText="bothSides">
            <wp:wrapPolygon edited="0">
              <wp:start x="15012" y="0"/>
              <wp:lineTo x="7923" y="771"/>
              <wp:lineTo x="0" y="7705"/>
              <wp:lineTo x="0" y="16951"/>
              <wp:lineTo x="2502" y="20804"/>
              <wp:lineTo x="7506" y="20804"/>
              <wp:lineTo x="21266" y="20804"/>
              <wp:lineTo x="21266" y="12328"/>
              <wp:lineTo x="17931" y="0"/>
              <wp:lineTo x="15012" y="0"/>
            </wp:wrapPolygon>
          </wp:wrapThrough>
          <wp:docPr id="1" name="Imagen 1" descr="C:\ACPlanaeción\2020\Documentos Poder Judicial\Imagen Rectora PJ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CPlanaeción\2020\Documentos Poder Judicial\Imagen Rectora PJ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B3FA8" w:rsidRDefault="001B3FA8">
    <w:pPr>
      <w:pStyle w:val="Encabezado"/>
      <w:rPr>
        <w:i/>
        <w:color w:val="797B7E" w:themeColor="accent1"/>
      </w:rPr>
    </w:pPr>
  </w:p>
  <w:p w:rsidR="00EA2404" w:rsidRPr="00004079" w:rsidRDefault="00B427DA">
    <w:pPr>
      <w:pStyle w:val="Encabezado"/>
      <w:rPr>
        <w:i/>
      </w:rPr>
    </w:pPr>
    <w:r w:rsidRPr="00004079">
      <w:rPr>
        <w:i/>
        <w:color w:val="797B7E" w:themeColor="accent1"/>
      </w:rPr>
      <w:t>Coordinación de Planeación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22E0"/>
    <w:multiLevelType w:val="hybridMultilevel"/>
    <w:tmpl w:val="F6F00BA2"/>
    <w:lvl w:ilvl="0" w:tplc="A37E9BB2">
      <w:start w:val="1"/>
      <w:numFmt w:val="bullet"/>
      <w:lvlText w:val=""/>
      <w:lvlJc w:val="righ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C0253EF"/>
    <w:multiLevelType w:val="hybridMultilevel"/>
    <w:tmpl w:val="7858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758"/>
    <w:multiLevelType w:val="hybridMultilevel"/>
    <w:tmpl w:val="3646A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501"/>
    <w:multiLevelType w:val="hybridMultilevel"/>
    <w:tmpl w:val="FEFCBE94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4" w15:restartNumberingAfterBreak="0">
    <w:nsid w:val="1957663D"/>
    <w:multiLevelType w:val="hybridMultilevel"/>
    <w:tmpl w:val="1BD05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6CFD"/>
    <w:multiLevelType w:val="hybridMultilevel"/>
    <w:tmpl w:val="81980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40F"/>
    <w:multiLevelType w:val="hybridMultilevel"/>
    <w:tmpl w:val="CF28C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B4"/>
    <w:multiLevelType w:val="hybridMultilevel"/>
    <w:tmpl w:val="24A4F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1A1B"/>
    <w:multiLevelType w:val="hybridMultilevel"/>
    <w:tmpl w:val="D9F06300"/>
    <w:lvl w:ilvl="0" w:tplc="90720374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72" w:hanging="360"/>
      </w:pPr>
    </w:lvl>
    <w:lvl w:ilvl="2" w:tplc="080A001B" w:tentative="1">
      <w:start w:val="1"/>
      <w:numFmt w:val="lowerRoman"/>
      <w:lvlText w:val="%3."/>
      <w:lvlJc w:val="right"/>
      <w:pPr>
        <w:ind w:left="3192" w:hanging="180"/>
      </w:pPr>
    </w:lvl>
    <w:lvl w:ilvl="3" w:tplc="080A000F" w:tentative="1">
      <w:start w:val="1"/>
      <w:numFmt w:val="decimal"/>
      <w:lvlText w:val="%4."/>
      <w:lvlJc w:val="left"/>
      <w:pPr>
        <w:ind w:left="3912" w:hanging="360"/>
      </w:pPr>
    </w:lvl>
    <w:lvl w:ilvl="4" w:tplc="080A0019" w:tentative="1">
      <w:start w:val="1"/>
      <w:numFmt w:val="lowerLetter"/>
      <w:lvlText w:val="%5."/>
      <w:lvlJc w:val="left"/>
      <w:pPr>
        <w:ind w:left="4632" w:hanging="360"/>
      </w:pPr>
    </w:lvl>
    <w:lvl w:ilvl="5" w:tplc="080A001B" w:tentative="1">
      <w:start w:val="1"/>
      <w:numFmt w:val="lowerRoman"/>
      <w:lvlText w:val="%6."/>
      <w:lvlJc w:val="right"/>
      <w:pPr>
        <w:ind w:left="5352" w:hanging="180"/>
      </w:pPr>
    </w:lvl>
    <w:lvl w:ilvl="6" w:tplc="080A000F" w:tentative="1">
      <w:start w:val="1"/>
      <w:numFmt w:val="decimal"/>
      <w:lvlText w:val="%7."/>
      <w:lvlJc w:val="left"/>
      <w:pPr>
        <w:ind w:left="6072" w:hanging="360"/>
      </w:pPr>
    </w:lvl>
    <w:lvl w:ilvl="7" w:tplc="080A0019" w:tentative="1">
      <w:start w:val="1"/>
      <w:numFmt w:val="lowerLetter"/>
      <w:lvlText w:val="%8."/>
      <w:lvlJc w:val="left"/>
      <w:pPr>
        <w:ind w:left="6792" w:hanging="360"/>
      </w:pPr>
    </w:lvl>
    <w:lvl w:ilvl="8" w:tplc="080A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9" w15:restartNumberingAfterBreak="0">
    <w:nsid w:val="2EBE6012"/>
    <w:multiLevelType w:val="hybridMultilevel"/>
    <w:tmpl w:val="C868B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9540A"/>
    <w:multiLevelType w:val="hybridMultilevel"/>
    <w:tmpl w:val="6C4AC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2F72"/>
    <w:multiLevelType w:val="hybridMultilevel"/>
    <w:tmpl w:val="C098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84E50"/>
    <w:multiLevelType w:val="hybridMultilevel"/>
    <w:tmpl w:val="4F62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B4"/>
    <w:multiLevelType w:val="hybridMultilevel"/>
    <w:tmpl w:val="E1AC0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26A2E"/>
    <w:multiLevelType w:val="hybridMultilevel"/>
    <w:tmpl w:val="5E9AB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46223"/>
    <w:multiLevelType w:val="hybridMultilevel"/>
    <w:tmpl w:val="2CE830F0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6" w15:restartNumberingAfterBreak="0">
    <w:nsid w:val="4E4B5D15"/>
    <w:multiLevelType w:val="hybridMultilevel"/>
    <w:tmpl w:val="9D009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7D5C"/>
    <w:multiLevelType w:val="hybridMultilevel"/>
    <w:tmpl w:val="E744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C16C4"/>
    <w:multiLevelType w:val="hybridMultilevel"/>
    <w:tmpl w:val="24204794"/>
    <w:lvl w:ilvl="0" w:tplc="08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9" w15:restartNumberingAfterBreak="0">
    <w:nsid w:val="5F8C4699"/>
    <w:multiLevelType w:val="hybridMultilevel"/>
    <w:tmpl w:val="2076C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64E26"/>
    <w:multiLevelType w:val="hybridMultilevel"/>
    <w:tmpl w:val="AA5E733A"/>
    <w:lvl w:ilvl="0" w:tplc="0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1" w15:restartNumberingAfterBreak="0">
    <w:nsid w:val="60450273"/>
    <w:multiLevelType w:val="hybridMultilevel"/>
    <w:tmpl w:val="44B8B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43FFA"/>
    <w:multiLevelType w:val="hybridMultilevel"/>
    <w:tmpl w:val="6E567AE6"/>
    <w:lvl w:ilvl="0" w:tplc="CC5A15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32883"/>
    <w:multiLevelType w:val="hybridMultilevel"/>
    <w:tmpl w:val="B08C7710"/>
    <w:lvl w:ilvl="0" w:tplc="A37E9BB2">
      <w:start w:val="1"/>
      <w:numFmt w:val="bullet"/>
      <w:lvlText w:val=""/>
      <w:lvlJc w:val="righ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F7F44"/>
    <w:multiLevelType w:val="hybridMultilevel"/>
    <w:tmpl w:val="36B4FE8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A51DC"/>
    <w:multiLevelType w:val="hybridMultilevel"/>
    <w:tmpl w:val="79785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1408C"/>
    <w:multiLevelType w:val="hybridMultilevel"/>
    <w:tmpl w:val="1E8A1A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FAC7445"/>
    <w:multiLevelType w:val="hybridMultilevel"/>
    <w:tmpl w:val="883E3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48B4"/>
    <w:multiLevelType w:val="hybridMultilevel"/>
    <w:tmpl w:val="BF6630EE"/>
    <w:lvl w:ilvl="0" w:tplc="9E360A72">
      <w:start w:val="1"/>
      <w:numFmt w:val="bullet"/>
      <w:lvlText w:val=""/>
      <w:lvlJc w:val="righ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14065"/>
    <w:multiLevelType w:val="hybridMultilevel"/>
    <w:tmpl w:val="FEDA8F5E"/>
    <w:lvl w:ilvl="0" w:tplc="032A9DFA">
      <w:numFmt w:val="bullet"/>
      <w:lvlText w:val="-"/>
      <w:lvlJc w:val="left"/>
      <w:pPr>
        <w:ind w:left="1776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7"/>
  </w:num>
  <w:num w:numId="5">
    <w:abstractNumId w:val="12"/>
  </w:num>
  <w:num w:numId="6">
    <w:abstractNumId w:val="22"/>
  </w:num>
  <w:num w:numId="7">
    <w:abstractNumId w:val="19"/>
  </w:num>
  <w:num w:numId="8">
    <w:abstractNumId w:val="27"/>
  </w:num>
  <w:num w:numId="9">
    <w:abstractNumId w:val="24"/>
  </w:num>
  <w:num w:numId="10">
    <w:abstractNumId w:val="4"/>
  </w:num>
  <w:num w:numId="11">
    <w:abstractNumId w:val="21"/>
  </w:num>
  <w:num w:numId="12">
    <w:abstractNumId w:val="10"/>
  </w:num>
  <w:num w:numId="13">
    <w:abstractNumId w:val="11"/>
  </w:num>
  <w:num w:numId="14">
    <w:abstractNumId w:val="29"/>
  </w:num>
  <w:num w:numId="15">
    <w:abstractNumId w:val="26"/>
  </w:num>
  <w:num w:numId="16">
    <w:abstractNumId w:val="16"/>
  </w:num>
  <w:num w:numId="17">
    <w:abstractNumId w:val="1"/>
  </w:num>
  <w:num w:numId="18">
    <w:abstractNumId w:val="7"/>
  </w:num>
  <w:num w:numId="19">
    <w:abstractNumId w:val="2"/>
  </w:num>
  <w:num w:numId="20">
    <w:abstractNumId w:val="9"/>
  </w:num>
  <w:num w:numId="21">
    <w:abstractNumId w:val="25"/>
  </w:num>
  <w:num w:numId="22">
    <w:abstractNumId w:val="8"/>
  </w:num>
  <w:num w:numId="23">
    <w:abstractNumId w:val="0"/>
  </w:num>
  <w:num w:numId="24">
    <w:abstractNumId w:val="23"/>
  </w:num>
  <w:num w:numId="25">
    <w:abstractNumId w:val="18"/>
  </w:num>
  <w:num w:numId="26">
    <w:abstractNumId w:val="3"/>
  </w:num>
  <w:num w:numId="27">
    <w:abstractNumId w:val="14"/>
  </w:num>
  <w:num w:numId="28">
    <w:abstractNumId w:val="15"/>
  </w:num>
  <w:num w:numId="29">
    <w:abstractNumId w:val="2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F"/>
    <w:rsid w:val="00002380"/>
    <w:rsid w:val="00004079"/>
    <w:rsid w:val="000053B0"/>
    <w:rsid w:val="00006E54"/>
    <w:rsid w:val="000307D2"/>
    <w:rsid w:val="00032EEB"/>
    <w:rsid w:val="00041427"/>
    <w:rsid w:val="00045199"/>
    <w:rsid w:val="000609B6"/>
    <w:rsid w:val="00061259"/>
    <w:rsid w:val="000659B6"/>
    <w:rsid w:val="00075E92"/>
    <w:rsid w:val="00080F1C"/>
    <w:rsid w:val="0008342B"/>
    <w:rsid w:val="000844D7"/>
    <w:rsid w:val="000845FA"/>
    <w:rsid w:val="000849B0"/>
    <w:rsid w:val="000A00FD"/>
    <w:rsid w:val="000A0277"/>
    <w:rsid w:val="000A3805"/>
    <w:rsid w:val="000A5453"/>
    <w:rsid w:val="000B1C5E"/>
    <w:rsid w:val="000B2104"/>
    <w:rsid w:val="000B2806"/>
    <w:rsid w:val="000B70DF"/>
    <w:rsid w:val="000C377D"/>
    <w:rsid w:val="000C3A3F"/>
    <w:rsid w:val="000D52AC"/>
    <w:rsid w:val="000D6986"/>
    <w:rsid w:val="000D7A1A"/>
    <w:rsid w:val="000D7EDD"/>
    <w:rsid w:val="000E1F43"/>
    <w:rsid w:val="001039C2"/>
    <w:rsid w:val="0013005B"/>
    <w:rsid w:val="001332BC"/>
    <w:rsid w:val="0013581D"/>
    <w:rsid w:val="00162DBF"/>
    <w:rsid w:val="00177563"/>
    <w:rsid w:val="0018657D"/>
    <w:rsid w:val="00190267"/>
    <w:rsid w:val="001907ED"/>
    <w:rsid w:val="00192165"/>
    <w:rsid w:val="001929CE"/>
    <w:rsid w:val="001A25CE"/>
    <w:rsid w:val="001B13D1"/>
    <w:rsid w:val="001B19B7"/>
    <w:rsid w:val="001B3FA8"/>
    <w:rsid w:val="001B7CA9"/>
    <w:rsid w:val="001E226E"/>
    <w:rsid w:val="001E2BB0"/>
    <w:rsid w:val="001E53F8"/>
    <w:rsid w:val="001F13B0"/>
    <w:rsid w:val="00201473"/>
    <w:rsid w:val="00203AF8"/>
    <w:rsid w:val="00204F1E"/>
    <w:rsid w:val="00217125"/>
    <w:rsid w:val="002213B5"/>
    <w:rsid w:val="0022329B"/>
    <w:rsid w:val="00227F58"/>
    <w:rsid w:val="002343E2"/>
    <w:rsid w:val="00236C72"/>
    <w:rsid w:val="00256AB2"/>
    <w:rsid w:val="00257B5E"/>
    <w:rsid w:val="002657A7"/>
    <w:rsid w:val="00270FE4"/>
    <w:rsid w:val="0027422E"/>
    <w:rsid w:val="00275404"/>
    <w:rsid w:val="002777DB"/>
    <w:rsid w:val="00284441"/>
    <w:rsid w:val="002844F8"/>
    <w:rsid w:val="00286A23"/>
    <w:rsid w:val="00287A28"/>
    <w:rsid w:val="002B1714"/>
    <w:rsid w:val="002B4876"/>
    <w:rsid w:val="002D0958"/>
    <w:rsid w:val="002D0DFD"/>
    <w:rsid w:val="002D7C82"/>
    <w:rsid w:val="002E2B77"/>
    <w:rsid w:val="002E4EAC"/>
    <w:rsid w:val="002E58EF"/>
    <w:rsid w:val="003027DE"/>
    <w:rsid w:val="00310123"/>
    <w:rsid w:val="00311AEA"/>
    <w:rsid w:val="003139AB"/>
    <w:rsid w:val="003241DF"/>
    <w:rsid w:val="0032732D"/>
    <w:rsid w:val="003275E9"/>
    <w:rsid w:val="00335B95"/>
    <w:rsid w:val="00342494"/>
    <w:rsid w:val="00346E83"/>
    <w:rsid w:val="00347416"/>
    <w:rsid w:val="00351F19"/>
    <w:rsid w:val="003707DD"/>
    <w:rsid w:val="00376030"/>
    <w:rsid w:val="00381FF8"/>
    <w:rsid w:val="00384394"/>
    <w:rsid w:val="00384656"/>
    <w:rsid w:val="00391443"/>
    <w:rsid w:val="003931C1"/>
    <w:rsid w:val="003B6272"/>
    <w:rsid w:val="003B7F2A"/>
    <w:rsid w:val="003C4830"/>
    <w:rsid w:val="003D216E"/>
    <w:rsid w:val="003D45FD"/>
    <w:rsid w:val="003D57C6"/>
    <w:rsid w:val="003D7541"/>
    <w:rsid w:val="003F5FB7"/>
    <w:rsid w:val="00405988"/>
    <w:rsid w:val="004345B7"/>
    <w:rsid w:val="004345B9"/>
    <w:rsid w:val="0043551D"/>
    <w:rsid w:val="0043785E"/>
    <w:rsid w:val="00444C98"/>
    <w:rsid w:val="00450A13"/>
    <w:rsid w:val="00451886"/>
    <w:rsid w:val="004711E5"/>
    <w:rsid w:val="00471743"/>
    <w:rsid w:val="004758CE"/>
    <w:rsid w:val="004919E1"/>
    <w:rsid w:val="00493360"/>
    <w:rsid w:val="00496F5E"/>
    <w:rsid w:val="004A145A"/>
    <w:rsid w:val="004A2E96"/>
    <w:rsid w:val="004A6A6C"/>
    <w:rsid w:val="004B20B2"/>
    <w:rsid w:val="004B7325"/>
    <w:rsid w:val="004C1F88"/>
    <w:rsid w:val="004D2127"/>
    <w:rsid w:val="004D3FA4"/>
    <w:rsid w:val="004D50ED"/>
    <w:rsid w:val="004D5D1D"/>
    <w:rsid w:val="004E0128"/>
    <w:rsid w:val="004E62F7"/>
    <w:rsid w:val="004F02BB"/>
    <w:rsid w:val="004F660E"/>
    <w:rsid w:val="005011AC"/>
    <w:rsid w:val="00504338"/>
    <w:rsid w:val="00512570"/>
    <w:rsid w:val="00516931"/>
    <w:rsid w:val="00520C11"/>
    <w:rsid w:val="00526C42"/>
    <w:rsid w:val="00526D1F"/>
    <w:rsid w:val="00540E5E"/>
    <w:rsid w:val="00544CAA"/>
    <w:rsid w:val="00545380"/>
    <w:rsid w:val="0054570D"/>
    <w:rsid w:val="00555C83"/>
    <w:rsid w:val="00556180"/>
    <w:rsid w:val="00557330"/>
    <w:rsid w:val="005626AF"/>
    <w:rsid w:val="0057382C"/>
    <w:rsid w:val="00574629"/>
    <w:rsid w:val="005777C6"/>
    <w:rsid w:val="00586765"/>
    <w:rsid w:val="00587E66"/>
    <w:rsid w:val="005902A1"/>
    <w:rsid w:val="005B2CF2"/>
    <w:rsid w:val="005B6D08"/>
    <w:rsid w:val="005B7B05"/>
    <w:rsid w:val="005D3AC4"/>
    <w:rsid w:val="005D403A"/>
    <w:rsid w:val="005D44A9"/>
    <w:rsid w:val="00602962"/>
    <w:rsid w:val="006049BE"/>
    <w:rsid w:val="00605C01"/>
    <w:rsid w:val="00610313"/>
    <w:rsid w:val="0062225C"/>
    <w:rsid w:val="0063565E"/>
    <w:rsid w:val="00635BE4"/>
    <w:rsid w:val="00635C60"/>
    <w:rsid w:val="00643E0B"/>
    <w:rsid w:val="00643FFF"/>
    <w:rsid w:val="00651CFE"/>
    <w:rsid w:val="00653BDD"/>
    <w:rsid w:val="0065763A"/>
    <w:rsid w:val="00663AEC"/>
    <w:rsid w:val="00666EAA"/>
    <w:rsid w:val="006700EE"/>
    <w:rsid w:val="006748BB"/>
    <w:rsid w:val="0067511E"/>
    <w:rsid w:val="006766CE"/>
    <w:rsid w:val="00684288"/>
    <w:rsid w:val="00690772"/>
    <w:rsid w:val="006923CB"/>
    <w:rsid w:val="006929DA"/>
    <w:rsid w:val="006A5FE3"/>
    <w:rsid w:val="006B1D75"/>
    <w:rsid w:val="006B594D"/>
    <w:rsid w:val="006C06F2"/>
    <w:rsid w:val="006C37A1"/>
    <w:rsid w:val="006C5187"/>
    <w:rsid w:val="006E71B5"/>
    <w:rsid w:val="00707E34"/>
    <w:rsid w:val="00713E08"/>
    <w:rsid w:val="007308B4"/>
    <w:rsid w:val="0073310A"/>
    <w:rsid w:val="00733686"/>
    <w:rsid w:val="007352B8"/>
    <w:rsid w:val="00737B9D"/>
    <w:rsid w:val="00746A57"/>
    <w:rsid w:val="00775C46"/>
    <w:rsid w:val="00777C55"/>
    <w:rsid w:val="00781BFE"/>
    <w:rsid w:val="007979DF"/>
    <w:rsid w:val="007A1A95"/>
    <w:rsid w:val="007A354F"/>
    <w:rsid w:val="007B5B25"/>
    <w:rsid w:val="007C3EB4"/>
    <w:rsid w:val="007C4412"/>
    <w:rsid w:val="007D2817"/>
    <w:rsid w:val="007D4E80"/>
    <w:rsid w:val="007D6F55"/>
    <w:rsid w:val="007E4EDC"/>
    <w:rsid w:val="007F11C6"/>
    <w:rsid w:val="007F6412"/>
    <w:rsid w:val="00816528"/>
    <w:rsid w:val="008205DC"/>
    <w:rsid w:val="0082402B"/>
    <w:rsid w:val="00830BED"/>
    <w:rsid w:val="008455A4"/>
    <w:rsid w:val="00847B52"/>
    <w:rsid w:val="00847FEF"/>
    <w:rsid w:val="00856642"/>
    <w:rsid w:val="008731EC"/>
    <w:rsid w:val="00877A24"/>
    <w:rsid w:val="0088038A"/>
    <w:rsid w:val="00883E7F"/>
    <w:rsid w:val="00885115"/>
    <w:rsid w:val="00885D57"/>
    <w:rsid w:val="00887BD7"/>
    <w:rsid w:val="008A30CF"/>
    <w:rsid w:val="008A323F"/>
    <w:rsid w:val="008A3A07"/>
    <w:rsid w:val="008A5B4C"/>
    <w:rsid w:val="008B4D1A"/>
    <w:rsid w:val="008C0CE0"/>
    <w:rsid w:val="008C1FB8"/>
    <w:rsid w:val="008C4F66"/>
    <w:rsid w:val="008D26B7"/>
    <w:rsid w:val="008D3009"/>
    <w:rsid w:val="008D319A"/>
    <w:rsid w:val="008E570F"/>
    <w:rsid w:val="008E79BA"/>
    <w:rsid w:val="00903FAA"/>
    <w:rsid w:val="00904928"/>
    <w:rsid w:val="009055B7"/>
    <w:rsid w:val="00914717"/>
    <w:rsid w:val="0092763B"/>
    <w:rsid w:val="00940A58"/>
    <w:rsid w:val="00943AB5"/>
    <w:rsid w:val="00952134"/>
    <w:rsid w:val="00952CD9"/>
    <w:rsid w:val="00954144"/>
    <w:rsid w:val="0096346A"/>
    <w:rsid w:val="009649E6"/>
    <w:rsid w:val="00965F93"/>
    <w:rsid w:val="00981278"/>
    <w:rsid w:val="0098316C"/>
    <w:rsid w:val="00983306"/>
    <w:rsid w:val="00983D9C"/>
    <w:rsid w:val="00984775"/>
    <w:rsid w:val="0099233C"/>
    <w:rsid w:val="009A0B59"/>
    <w:rsid w:val="009A2005"/>
    <w:rsid w:val="009A3DFB"/>
    <w:rsid w:val="009A7E09"/>
    <w:rsid w:val="009B344F"/>
    <w:rsid w:val="009B588E"/>
    <w:rsid w:val="009C1119"/>
    <w:rsid w:val="009C57EE"/>
    <w:rsid w:val="009C6136"/>
    <w:rsid w:val="009E1B17"/>
    <w:rsid w:val="009E3664"/>
    <w:rsid w:val="009E4D25"/>
    <w:rsid w:val="00A3218A"/>
    <w:rsid w:val="00A40285"/>
    <w:rsid w:val="00A40FF9"/>
    <w:rsid w:val="00A44D44"/>
    <w:rsid w:val="00A44E2A"/>
    <w:rsid w:val="00A46B53"/>
    <w:rsid w:val="00A67C90"/>
    <w:rsid w:val="00A71DA7"/>
    <w:rsid w:val="00A74A7A"/>
    <w:rsid w:val="00A8677C"/>
    <w:rsid w:val="00A87548"/>
    <w:rsid w:val="00A95696"/>
    <w:rsid w:val="00A9610D"/>
    <w:rsid w:val="00A967AC"/>
    <w:rsid w:val="00A979EA"/>
    <w:rsid w:val="00AB1436"/>
    <w:rsid w:val="00AB6431"/>
    <w:rsid w:val="00AD1064"/>
    <w:rsid w:val="00AD5DED"/>
    <w:rsid w:val="00AE6941"/>
    <w:rsid w:val="00B076D8"/>
    <w:rsid w:val="00B12894"/>
    <w:rsid w:val="00B13D11"/>
    <w:rsid w:val="00B2172C"/>
    <w:rsid w:val="00B22302"/>
    <w:rsid w:val="00B23AAE"/>
    <w:rsid w:val="00B25D5F"/>
    <w:rsid w:val="00B26A19"/>
    <w:rsid w:val="00B329E8"/>
    <w:rsid w:val="00B33029"/>
    <w:rsid w:val="00B41281"/>
    <w:rsid w:val="00B427DA"/>
    <w:rsid w:val="00B43609"/>
    <w:rsid w:val="00B547F1"/>
    <w:rsid w:val="00B6181E"/>
    <w:rsid w:val="00B64A3E"/>
    <w:rsid w:val="00B70AF3"/>
    <w:rsid w:val="00B85F08"/>
    <w:rsid w:val="00B9078E"/>
    <w:rsid w:val="00B94430"/>
    <w:rsid w:val="00B95634"/>
    <w:rsid w:val="00BD106C"/>
    <w:rsid w:val="00BD69B5"/>
    <w:rsid w:val="00BD7DCD"/>
    <w:rsid w:val="00BE67BA"/>
    <w:rsid w:val="00C0666A"/>
    <w:rsid w:val="00C07E2A"/>
    <w:rsid w:val="00C139B2"/>
    <w:rsid w:val="00C167DC"/>
    <w:rsid w:val="00C30D44"/>
    <w:rsid w:val="00C3209D"/>
    <w:rsid w:val="00C325E0"/>
    <w:rsid w:val="00C33BCF"/>
    <w:rsid w:val="00C51615"/>
    <w:rsid w:val="00C51B36"/>
    <w:rsid w:val="00C53872"/>
    <w:rsid w:val="00C63539"/>
    <w:rsid w:val="00C70E43"/>
    <w:rsid w:val="00C71790"/>
    <w:rsid w:val="00C7222D"/>
    <w:rsid w:val="00C725ED"/>
    <w:rsid w:val="00C74297"/>
    <w:rsid w:val="00C81368"/>
    <w:rsid w:val="00C92176"/>
    <w:rsid w:val="00C94AD0"/>
    <w:rsid w:val="00CA50E7"/>
    <w:rsid w:val="00CB385F"/>
    <w:rsid w:val="00CB64F1"/>
    <w:rsid w:val="00CE044D"/>
    <w:rsid w:val="00CE08A4"/>
    <w:rsid w:val="00CE1824"/>
    <w:rsid w:val="00CF08AF"/>
    <w:rsid w:val="00D00A06"/>
    <w:rsid w:val="00D00E5F"/>
    <w:rsid w:val="00D01F4F"/>
    <w:rsid w:val="00D01F61"/>
    <w:rsid w:val="00D13908"/>
    <w:rsid w:val="00D14176"/>
    <w:rsid w:val="00D14DC7"/>
    <w:rsid w:val="00D15CC5"/>
    <w:rsid w:val="00D23E16"/>
    <w:rsid w:val="00D32523"/>
    <w:rsid w:val="00D3701A"/>
    <w:rsid w:val="00D45D83"/>
    <w:rsid w:val="00D46194"/>
    <w:rsid w:val="00D544B2"/>
    <w:rsid w:val="00D635C4"/>
    <w:rsid w:val="00D660AA"/>
    <w:rsid w:val="00D66A3C"/>
    <w:rsid w:val="00D70023"/>
    <w:rsid w:val="00D7089E"/>
    <w:rsid w:val="00D77285"/>
    <w:rsid w:val="00D86A9A"/>
    <w:rsid w:val="00DA4CD0"/>
    <w:rsid w:val="00DB2F00"/>
    <w:rsid w:val="00DB33B0"/>
    <w:rsid w:val="00DC28CB"/>
    <w:rsid w:val="00DC3237"/>
    <w:rsid w:val="00DD12BF"/>
    <w:rsid w:val="00DD2623"/>
    <w:rsid w:val="00DE7094"/>
    <w:rsid w:val="00DF1B7C"/>
    <w:rsid w:val="00E003F8"/>
    <w:rsid w:val="00E04FC5"/>
    <w:rsid w:val="00E07968"/>
    <w:rsid w:val="00E10EDA"/>
    <w:rsid w:val="00E112A6"/>
    <w:rsid w:val="00E11664"/>
    <w:rsid w:val="00E20FD2"/>
    <w:rsid w:val="00E46575"/>
    <w:rsid w:val="00E5219A"/>
    <w:rsid w:val="00E54119"/>
    <w:rsid w:val="00E5675C"/>
    <w:rsid w:val="00E5703C"/>
    <w:rsid w:val="00E61766"/>
    <w:rsid w:val="00E62266"/>
    <w:rsid w:val="00E656E5"/>
    <w:rsid w:val="00E65B7B"/>
    <w:rsid w:val="00E75D56"/>
    <w:rsid w:val="00E77E60"/>
    <w:rsid w:val="00E80A75"/>
    <w:rsid w:val="00E85E43"/>
    <w:rsid w:val="00E8736F"/>
    <w:rsid w:val="00E96E59"/>
    <w:rsid w:val="00EA2404"/>
    <w:rsid w:val="00EA5962"/>
    <w:rsid w:val="00EA6515"/>
    <w:rsid w:val="00EB3B8F"/>
    <w:rsid w:val="00EB5E83"/>
    <w:rsid w:val="00EC5AD6"/>
    <w:rsid w:val="00EC7A03"/>
    <w:rsid w:val="00EE44ED"/>
    <w:rsid w:val="00EE4FE5"/>
    <w:rsid w:val="00F00C58"/>
    <w:rsid w:val="00F01722"/>
    <w:rsid w:val="00F020BE"/>
    <w:rsid w:val="00F06737"/>
    <w:rsid w:val="00F1265F"/>
    <w:rsid w:val="00F13401"/>
    <w:rsid w:val="00F14D5E"/>
    <w:rsid w:val="00F219FB"/>
    <w:rsid w:val="00F228D1"/>
    <w:rsid w:val="00F243F7"/>
    <w:rsid w:val="00F44792"/>
    <w:rsid w:val="00F45520"/>
    <w:rsid w:val="00F46CFB"/>
    <w:rsid w:val="00F47E80"/>
    <w:rsid w:val="00F51834"/>
    <w:rsid w:val="00F524FF"/>
    <w:rsid w:val="00F54B60"/>
    <w:rsid w:val="00F62E4A"/>
    <w:rsid w:val="00F631DF"/>
    <w:rsid w:val="00F65A39"/>
    <w:rsid w:val="00F74284"/>
    <w:rsid w:val="00F746A6"/>
    <w:rsid w:val="00F8331A"/>
    <w:rsid w:val="00F87F84"/>
    <w:rsid w:val="00F91ED1"/>
    <w:rsid w:val="00F9423A"/>
    <w:rsid w:val="00F97C4B"/>
    <w:rsid w:val="00FA1BE6"/>
    <w:rsid w:val="00FA3D5B"/>
    <w:rsid w:val="00FA4D48"/>
    <w:rsid w:val="00FA75D2"/>
    <w:rsid w:val="00FB2977"/>
    <w:rsid w:val="00FB45B6"/>
    <w:rsid w:val="00FB4E04"/>
    <w:rsid w:val="00FB50A7"/>
    <w:rsid w:val="00FB667E"/>
    <w:rsid w:val="00FC1EC6"/>
    <w:rsid w:val="00FC2077"/>
    <w:rsid w:val="00FC7181"/>
    <w:rsid w:val="00FC7E9A"/>
    <w:rsid w:val="00FD1B43"/>
    <w:rsid w:val="00FD5D7E"/>
    <w:rsid w:val="00FD7260"/>
    <w:rsid w:val="00FF0F4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39BFA-800C-4707-A2C1-DB09173E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E5F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E5F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0E5F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E5F"/>
    <w:pPr>
      <w:pBdr>
        <w:bottom w:val="single" w:sz="4" w:space="4" w:color="797B7E" w:themeColor="accent1"/>
      </w:pBdr>
      <w:spacing w:before="200" w:after="280"/>
      <w:ind w:left="936" w:right="936"/>
    </w:pPr>
    <w:rPr>
      <w:b/>
      <w:bCs/>
      <w:i/>
      <w:iCs/>
      <w:color w:val="797B7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E5F"/>
    <w:rPr>
      <w:b/>
      <w:bCs/>
      <w:i/>
      <w:iCs/>
      <w:color w:val="797B7E" w:themeColor="accent1"/>
    </w:rPr>
  </w:style>
  <w:style w:type="paragraph" w:styleId="Prrafodelista">
    <w:name w:val="List Paragraph"/>
    <w:basedOn w:val="Normal"/>
    <w:uiPriority w:val="34"/>
    <w:qFormat/>
    <w:rsid w:val="00D00E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4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404"/>
  </w:style>
  <w:style w:type="paragraph" w:styleId="Piedepgina">
    <w:name w:val="footer"/>
    <w:basedOn w:val="Normal"/>
    <w:link w:val="PiedepginaCar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404"/>
  </w:style>
  <w:style w:type="paragraph" w:styleId="TtulodeTDC">
    <w:name w:val="TOC Heading"/>
    <w:basedOn w:val="Ttulo1"/>
    <w:next w:val="Normal"/>
    <w:uiPriority w:val="39"/>
    <w:unhideWhenUsed/>
    <w:qFormat/>
    <w:rsid w:val="00D14DC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14DC7"/>
    <w:pPr>
      <w:spacing w:after="100" w:line="259" w:lineRule="auto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4DC7"/>
    <w:pPr>
      <w:spacing w:after="100" w:line="259" w:lineRule="auto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14DC7"/>
    <w:pPr>
      <w:spacing w:after="100" w:line="259" w:lineRule="auto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14DC7"/>
    <w:rPr>
      <w:color w:val="5F5F5F" w:themeColor="hyperlink"/>
      <w:u w:val="single"/>
    </w:rPr>
  </w:style>
  <w:style w:type="table" w:styleId="Tablaconcuadrcula">
    <w:name w:val="Table Grid"/>
    <w:basedOn w:val="Tablanormal"/>
    <w:uiPriority w:val="59"/>
    <w:rsid w:val="009C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5">
    <w:name w:val="Grid Table 7 Colorful Accent 5"/>
    <w:basedOn w:val="Tablanormal"/>
    <w:uiPriority w:val="52"/>
    <w:rsid w:val="008E570F"/>
    <w:pPr>
      <w:spacing w:after="0" w:line="240" w:lineRule="auto"/>
    </w:pPr>
    <w:rPr>
      <w:color w:val="A38457" w:themeColor="accent5" w:themeShade="BF"/>
    </w:r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8E5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CD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CD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Tablanormal2">
    <w:name w:val="Plain Table 2"/>
    <w:basedOn w:val="Tablanormal"/>
    <w:uiPriority w:val="42"/>
    <w:rsid w:val="008E57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5">
    <w:name w:val="Grid Table 3 Accent 5"/>
    <w:basedOn w:val="Tablanormal"/>
    <w:uiPriority w:val="48"/>
    <w:rsid w:val="003F5FB7"/>
    <w:pPr>
      <w:spacing w:after="0" w:line="240" w:lineRule="auto"/>
    </w:p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501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011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1300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0E75-ACDB-491B-A18B-6F15280F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ReportePlan</vt:lpstr>
    </vt:vector>
  </TitlesOfParts>
  <Manager>DPyE</Manager>
  <Company>PJGto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ReportePlan</dc:title>
  <dc:subject>Reporte Consolidado</dc:subject>
  <dc:creator>DDPyE</dc:creator>
  <cp:keywords>Seguimiento</cp:keywords>
  <dc:description>Plan, POA, PbR</dc:description>
  <cp:lastModifiedBy>PLANEACION</cp:lastModifiedBy>
  <cp:revision>3</cp:revision>
  <cp:lastPrinted>2018-04-19T17:38:00Z</cp:lastPrinted>
  <dcterms:created xsi:type="dcterms:W3CDTF">2020-10-22T17:54:00Z</dcterms:created>
  <dcterms:modified xsi:type="dcterms:W3CDTF">2020-11-03T16:33:00Z</dcterms:modified>
  <cp:category>Planeación</cp:category>
</cp:coreProperties>
</file>