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2F91CFE1"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Pr="00250034">
        <w:rPr>
          <w:rFonts w:ascii="Aptos" w:eastAsia="Calibri" w:hAnsi="Aptos" w:cstheme="minorHAnsi"/>
          <w:b/>
          <w:sz w:val="20"/>
          <w:szCs w:val="20"/>
        </w:rPr>
        <w:t>Agência para a Modernização Administrativa, I.P.</w:t>
      </w:r>
      <w:r w:rsidRPr="00250034">
        <w:rPr>
          <w:rFonts w:ascii="Aptos" w:eastAsia="Calibri" w:hAnsi="Aptos" w:cstheme="minorHAnsi"/>
          <w:sz w:val="20"/>
          <w:szCs w:val="20"/>
        </w:rPr>
        <w:t xml:space="preserve">, de ora em diante designada por </w:t>
      </w:r>
      <w:r w:rsidRPr="00250034">
        <w:rPr>
          <w:rFonts w:ascii="Aptos" w:eastAsia="Calibri" w:hAnsi="Aptos" w:cstheme="minorHAnsi"/>
          <w:b/>
          <w:sz w:val="20"/>
          <w:szCs w:val="20"/>
        </w:rPr>
        <w:t>AMA</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xml:space="preserve">, com sede na Rua de Santa Marta, n.º 55 – 3.º,1150-294 Lisboa, pessoa coletiva de direito público n.º 508 184 509, neste ato representada por </w:t>
      </w:r>
      <w:r w:rsidR="000F0BE3" w:rsidRPr="00680946">
        <w:rPr>
          <w:rFonts w:eastAsia="Calibri" w:cstheme="minorHAnsi"/>
        </w:rPr>
        <w:t>Ana Sofia Rodrigues dos Reis Mota</w:t>
      </w:r>
      <w:r w:rsidRPr="00250034">
        <w:rPr>
          <w:rFonts w:ascii="Aptos" w:eastAsia="Calibri" w:hAnsi="Aptos" w:cstheme="minorHAnsi"/>
          <w:sz w:val="20"/>
          <w:szCs w:val="20"/>
        </w:rPr>
        <w:t>,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250034">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3E93BC25"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B7CD517" w14:textId="34B713B2"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programas informáticos de faturação de que é produtor de modo a permitir aos seus clientes proceder ao envio para o correio eletrónico indicado pelo contribuinte adquirente;</w:t>
      </w:r>
    </w:p>
    <w:p w14:paraId="7F07CC36" w14:textId="258FD208"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3C8B5A3"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tem por objeto a definição dos termos e condições para disponibilização em programas informáticos de faturação do serviço fatura sem papel (SFSP) que visa permitir o envio 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lastRenderedPageBreak/>
        <w:t>Cláusula 2.ª</w:t>
      </w:r>
    </w:p>
    <w:p w14:paraId="1D3AD5A2" w14:textId="5A128B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417CED" w:rsidRPr="00250034">
        <w:rPr>
          <w:rFonts w:ascii="Aptos" w:hAnsi="Aptos" w:cstheme="minorHAnsi"/>
          <w:b/>
          <w:sz w:val="20"/>
          <w:szCs w:val="20"/>
        </w:rPr>
        <w:t>AMA</w:t>
      </w:r>
    </w:p>
    <w:p w14:paraId="75226D28" w14:textId="77777777"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No âmbito do presente Protocolo a AMA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proofErr w:type="spellStart"/>
      <w:r w:rsidRPr="00250034">
        <w:rPr>
          <w:rFonts w:ascii="Aptos" w:hAnsi="Aptos" w:cstheme="minorHAnsi"/>
          <w:i/>
          <w:iCs/>
          <w:sz w:val="20"/>
          <w:szCs w:val="20"/>
        </w:rPr>
        <w:t>help-desk</w:t>
      </w:r>
      <w:proofErr w:type="spellEnd"/>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0E8B1B2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AMA,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15C8668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AMA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AMA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59B66B81"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O recurso a criptografia no estabelecimento de comunicação via internet com a AMA;</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0A9D469"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proofErr w:type="spellStart"/>
      <w:r w:rsidRPr="00250034">
        <w:rPr>
          <w:rFonts w:ascii="Aptos" w:hAnsi="Aptos" w:cstheme="minorHAnsi"/>
          <w:i/>
          <w:sz w:val="20"/>
          <w:szCs w:val="20"/>
        </w:rPr>
        <w:t>guidelines</w:t>
      </w:r>
      <w:proofErr w:type="spellEnd"/>
      <w:r w:rsidRPr="00250034">
        <w:rPr>
          <w:rFonts w:ascii="Aptos" w:hAnsi="Aptos" w:cstheme="minorHAnsi"/>
          <w:sz w:val="20"/>
          <w:szCs w:val="20"/>
        </w:rPr>
        <w:t xml:space="preserve"> para implementação do SFSP constantes da documentação disponibilizada pela AMA;</w:t>
      </w:r>
    </w:p>
    <w:p w14:paraId="0E467DF7"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lastRenderedPageBreak/>
        <w:t xml:space="preserve">Disponibilizar à AMA documento que demonstre, para cada uma das </w:t>
      </w:r>
      <w:proofErr w:type="spellStart"/>
      <w:r w:rsidRPr="00250034">
        <w:rPr>
          <w:rFonts w:ascii="Aptos" w:hAnsi="Aptos" w:cstheme="minorHAnsi"/>
          <w:i/>
          <w:sz w:val="20"/>
          <w:szCs w:val="20"/>
        </w:rPr>
        <w:t>guidelines</w:t>
      </w:r>
      <w:proofErr w:type="spellEnd"/>
      <w:r w:rsidRPr="00250034">
        <w:rPr>
          <w:rFonts w:ascii="Aptos" w:hAnsi="Aptos" w:cstheme="minorHAnsi"/>
          <w:i/>
          <w:sz w:val="20"/>
          <w:szCs w:val="20"/>
        </w:rPr>
        <w:t xml:space="preserve"> </w:t>
      </w:r>
      <w:r w:rsidRPr="00250034">
        <w:rPr>
          <w:rFonts w:ascii="Aptos" w:hAnsi="Aptos" w:cstheme="minorHAnsi"/>
          <w:sz w:val="20"/>
          <w:szCs w:val="20"/>
        </w:rPr>
        <w:t>definidas, evidências do seu cumprimento;</w:t>
      </w:r>
    </w:p>
    <w:p w14:paraId="1939A379" w14:textId="77777777"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AMA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0CC1859C"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 xml:space="preserve">Funcionalidade implementada no âmbito do SFSP (executável, se autónoma, e código fonte na componente de integração com as </w:t>
      </w:r>
      <w:proofErr w:type="spellStart"/>
      <w:r w:rsidRPr="00250034">
        <w:rPr>
          <w:rFonts w:ascii="Aptos" w:hAnsi="Aptos" w:cs="Times New Roman"/>
          <w:sz w:val="20"/>
          <w:szCs w:val="20"/>
        </w:rPr>
        <w:t>APIs</w:t>
      </w:r>
      <w:proofErr w:type="spellEnd"/>
      <w:r w:rsidRPr="00250034">
        <w:rPr>
          <w:rFonts w:ascii="Aptos" w:hAnsi="Aptos" w:cs="Times New Roman"/>
          <w:sz w:val="20"/>
          <w:szCs w:val="20"/>
        </w:rPr>
        <w:t xml:space="preserve"> da AMA);</w:t>
      </w:r>
    </w:p>
    <w:bookmarkEnd w:id="3"/>
    <w:p w14:paraId="037830BC" w14:textId="7058765B"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Comunicar à AMA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proofErr w:type="spellStart"/>
      <w:r w:rsidRPr="00250034">
        <w:rPr>
          <w:rFonts w:ascii="Aptos" w:hAnsi="Aptos" w:cstheme="minorHAnsi"/>
          <w:i/>
          <w:iCs/>
          <w:sz w:val="20"/>
          <w:szCs w:val="20"/>
        </w:rPr>
        <w:t>guidelines</w:t>
      </w:r>
      <w:proofErr w:type="spellEnd"/>
      <w:r w:rsidRPr="00250034">
        <w:rPr>
          <w:rFonts w:ascii="Aptos" w:hAnsi="Aptos" w:cstheme="minorHAnsi"/>
          <w:sz w:val="20"/>
          <w:szCs w:val="20"/>
        </w:rPr>
        <w:t xml:space="preserve"> aplicáveis e da possibilidade de envio por email através do SFSP;</w:t>
      </w:r>
    </w:p>
    <w:p w14:paraId="7DABB394" w14:textId="0C8C49D4"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AMA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67D2B9D5"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AMA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03A176B8"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Pela AMA: </w:t>
      </w:r>
      <w:hyperlink r:id="rId11" w:history="1">
        <w:r w:rsidR="00151AAB" w:rsidRPr="00A36438">
          <w:rPr>
            <w:rStyle w:val="Hyperlink"/>
            <w:rFonts w:ascii="Aptos" w:hAnsi="Aptos" w:cs="Calibri"/>
            <w:sz w:val="20"/>
            <w:szCs w:val="20"/>
          </w:rPr>
          <w:t>protocolos@ama.gov.pt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As Partes indicam para acompanhamento da execução do presente Protocolo os seguintes responsáveis:</w:t>
      </w:r>
    </w:p>
    <w:p w14:paraId="503D70B3" w14:textId="22898A19"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lastRenderedPageBreak/>
        <w:t>Pela AMA:</w:t>
      </w:r>
      <w:r w:rsidR="00151AAB" w:rsidRPr="00151AAB">
        <w:rPr>
          <w:rFonts w:ascii="Aptos" w:hAnsi="Aptos" w:cs="Calibri"/>
          <w:sz w:val="20"/>
          <w:szCs w:val="20"/>
        </w:rPr>
        <w:t xml:space="preserve"> </w:t>
      </w:r>
      <w:r w:rsidR="00151AAB">
        <w:rPr>
          <w:rFonts w:ascii="Aptos" w:hAnsi="Aptos" w:cs="Calibri"/>
          <w:sz w:val="20"/>
          <w:szCs w:val="20"/>
        </w:rPr>
        <w:t xml:space="preserve">Equipa de </w:t>
      </w:r>
      <w:proofErr w:type="spellStart"/>
      <w:r w:rsidR="00151AAB">
        <w:rPr>
          <w:rFonts w:ascii="Aptos" w:hAnsi="Aptos" w:cs="Calibri"/>
          <w:sz w:val="20"/>
          <w:szCs w:val="20"/>
        </w:rPr>
        <w:t>Eid</w:t>
      </w:r>
      <w:proofErr w:type="spellEnd"/>
      <w:r w:rsidR="00151AAB">
        <w:rPr>
          <w:rFonts w:ascii="Aptos" w:hAnsi="Aptos" w:cs="Calibri"/>
          <w:sz w:val="20"/>
          <w:szCs w:val="20"/>
        </w:rPr>
        <w:t xml:space="preserve"> - </w:t>
      </w:r>
      <w:hyperlink r:id="rId12" w:history="1">
        <w:r w:rsidR="00151AAB" w:rsidRPr="00A36438">
          <w:rPr>
            <w:rStyle w:val="Hyperlink"/>
            <w:rFonts w:ascii="Aptos" w:hAnsi="Aptos" w:cs="Calibri"/>
            <w:sz w:val="20"/>
            <w:szCs w:val="20"/>
          </w:rPr>
          <w:t>eid@ama.gov.pt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ou os seus clientes não determinam as finalidades e os meios de tratamento de dados realizados pela AMA, nem atuam por conta da mesma, não existindo qualquer responsabilidade conjunta ou relação de subcontratação.</w:t>
      </w:r>
    </w:p>
    <w:p w14:paraId="6325D7E7"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6B6D8483"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Pela AMA, </w:t>
      </w:r>
      <w:hyperlink r:id="rId13" w:history="1">
        <w:r w:rsidRPr="00250034">
          <w:rPr>
            <w:rStyle w:val="Hyperlink"/>
            <w:rFonts w:ascii="Aptos" w:hAnsi="Aptos" w:cstheme="minorHAnsi"/>
            <w:sz w:val="20"/>
            <w:szCs w:val="20"/>
          </w:rPr>
          <w:t>dpo@ama.gov.pt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lastRenderedPageBreak/>
        <w:t>Qualquer alteração dos responsáveis referidos no número anterior deve ser comunicada à outra parte no prazo de 15 (quinze) dias a contar da respetiva alteração.</w:t>
      </w:r>
    </w:p>
    <w:p w14:paraId="57A0CFCD" w14:textId="77777777"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exercício das competências a que se refere o presente Protocolo obedece estritamente às </w:t>
      </w:r>
      <w:r w:rsidRPr="00250034">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4C968FAC" w:rsidR="00AB14CD"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AMA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r w:rsidR="00DC1F4F">
        <w:rPr>
          <w:rFonts w:ascii="Aptos" w:hAnsi="Aptos" w:cstheme="minorHAnsi"/>
          <w:sz w:val="20"/>
          <w:szCs w:val="20"/>
        </w:rPr>
        <w:t>.</w:t>
      </w:r>
    </w:p>
    <w:p w14:paraId="2D7CD668" w14:textId="77777777" w:rsidR="00DC1F4F" w:rsidRDefault="00DC1F4F" w:rsidP="00250034">
      <w:pPr>
        <w:spacing w:after="0" w:line="360" w:lineRule="auto"/>
        <w:ind w:left="1416"/>
        <w:contextualSpacing/>
        <w:rPr>
          <w:rFonts w:ascii="Aptos" w:hAnsi="Aptos" w:cstheme="minorHAnsi"/>
          <w:sz w:val="20"/>
          <w:szCs w:val="20"/>
        </w:rPr>
      </w:pPr>
    </w:p>
    <w:p w14:paraId="33BF0EEF" w14:textId="77777777" w:rsidR="00DC1F4F" w:rsidRDefault="00DC1F4F" w:rsidP="00250034">
      <w:pPr>
        <w:spacing w:after="0" w:line="360" w:lineRule="auto"/>
        <w:ind w:left="1416"/>
        <w:contextualSpacing/>
        <w:rPr>
          <w:rFonts w:ascii="Aptos" w:hAnsi="Aptos" w:cstheme="minorHAnsi"/>
          <w:sz w:val="20"/>
          <w:szCs w:val="20"/>
        </w:rPr>
      </w:pPr>
    </w:p>
    <w:p w14:paraId="5137DBAB" w14:textId="77777777" w:rsidR="00DC1F4F" w:rsidRDefault="00DC1F4F" w:rsidP="00250034">
      <w:pPr>
        <w:spacing w:after="0" w:line="360" w:lineRule="auto"/>
        <w:ind w:left="1416"/>
        <w:contextualSpacing/>
        <w:rPr>
          <w:rFonts w:ascii="Aptos" w:hAnsi="Aptos" w:cstheme="minorHAnsi"/>
          <w:sz w:val="20"/>
          <w:szCs w:val="20"/>
        </w:rPr>
      </w:pPr>
    </w:p>
    <w:p w14:paraId="14FEF34B" w14:textId="77777777" w:rsidR="00DC1F4F" w:rsidRDefault="00DC1F4F" w:rsidP="00250034">
      <w:pPr>
        <w:spacing w:after="0" w:line="360" w:lineRule="auto"/>
        <w:ind w:left="1416"/>
        <w:contextualSpacing/>
        <w:rPr>
          <w:rFonts w:ascii="Aptos" w:hAnsi="Aptos" w:cstheme="minorHAnsi"/>
          <w:sz w:val="20"/>
          <w:szCs w:val="20"/>
        </w:rPr>
      </w:pPr>
    </w:p>
    <w:p w14:paraId="6066263E" w14:textId="3304AC28" w:rsidR="00E9525B" w:rsidRDefault="007D4F87">
      <w:pPr>
        <w:spacing w:after="160" w:line="259" w:lineRule="auto"/>
        <w:rPr>
          <w:rFonts w:ascii="Aptos" w:hAnsi="Aptos" w:cstheme="minorHAnsi"/>
          <w:sz w:val="20"/>
          <w:szCs w:val="20"/>
        </w:rPr>
      </w:pPr>
      <w:r>
        <w:rPr>
          <w:rFonts w:ascii="Aptos" w:hAnsi="Aptos" w:cstheme="minorHAnsi"/>
          <w:sz w:val="20"/>
          <w:szCs w:val="20"/>
        </w:rPr>
        <w:br w:type="page"/>
      </w:r>
    </w:p>
    <w:p w14:paraId="139E17D3" w14:textId="77777777" w:rsidR="00E51D22" w:rsidRPr="00E9525B" w:rsidRDefault="00E51D22" w:rsidP="00E9525B">
      <w:pPr>
        <w:spacing w:after="160" w:line="259" w:lineRule="auto"/>
        <w:rPr>
          <w:rFonts w:ascii="Aptos" w:hAnsi="Aptos" w:cstheme="minorHAnsi"/>
          <w:sz w:val="20"/>
          <w:szCs w:val="20"/>
        </w:rPr>
      </w:pPr>
    </w:p>
    <w:p w14:paraId="605BCAA3" w14:textId="49D5FFD9" w:rsidR="00EF4759" w:rsidRPr="00837226" w:rsidRDefault="00EF4759" w:rsidP="00E51D22">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C79B8A4" w14:textId="77777777" w:rsidR="00EF4759" w:rsidRDefault="00EF4759" w:rsidP="00EF4759">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24AD34DC" w14:textId="77777777" w:rsidR="00EF4759" w:rsidRPr="00837226" w:rsidRDefault="00EF4759" w:rsidP="00EF4759">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F4759" w:rsidRPr="00837226" w14:paraId="6A320ABD" w14:textId="77777777" w:rsidTr="002C7807">
        <w:trPr>
          <w:trHeight w:val="697"/>
        </w:trPr>
        <w:tc>
          <w:tcPr>
            <w:tcW w:w="4531" w:type="dxa"/>
            <w:shd w:val="clear" w:color="auto" w:fill="D9D9D9"/>
            <w:vAlign w:val="center"/>
          </w:tcPr>
          <w:p w14:paraId="23D1A820"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3D2BA30D" w14:textId="77777777" w:rsidR="00EF4759" w:rsidRDefault="00EF4759" w:rsidP="002C7807">
            <w:pPr>
              <w:suppressAutoHyphens/>
              <w:contextualSpacing/>
              <w:jc w:val="both"/>
              <w:rPr>
                <w:rFonts w:ascii="Aptos" w:hAnsi="Aptos" w:cstheme="minorHAnsi"/>
                <w:sz w:val="20"/>
                <w:szCs w:val="20"/>
              </w:rPr>
            </w:pPr>
          </w:p>
          <w:p w14:paraId="4E1AF1E1" w14:textId="002D8223"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fatura sem papel (SFSP)</w:t>
            </w:r>
            <w:r>
              <w:rPr>
                <w:rFonts w:ascii="Aptos" w:hAnsi="Aptos" w:cstheme="minorHAnsi"/>
                <w:sz w:val="20"/>
                <w:szCs w:val="20"/>
              </w:rPr>
              <w:t>.</w:t>
            </w:r>
          </w:p>
          <w:p w14:paraId="7ABE1B81"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7A1C2D1E" w14:textId="77777777" w:rsidTr="002C7807">
        <w:trPr>
          <w:trHeight w:val="964"/>
        </w:trPr>
        <w:tc>
          <w:tcPr>
            <w:tcW w:w="4531" w:type="dxa"/>
            <w:shd w:val="clear" w:color="auto" w:fill="D9D9D9"/>
            <w:vAlign w:val="center"/>
          </w:tcPr>
          <w:p w14:paraId="1CD2DDA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F93144B" w14:textId="77777777" w:rsidR="00EF4759" w:rsidRDefault="00EF4759" w:rsidP="002C7807">
            <w:pPr>
              <w:suppressAutoHyphens/>
              <w:contextualSpacing/>
              <w:rPr>
                <w:rFonts w:ascii="Aptos" w:hAnsi="Aptos" w:cstheme="minorHAnsi"/>
                <w:sz w:val="20"/>
                <w:szCs w:val="20"/>
                <w:lang w:bidi="pt-PT"/>
              </w:rPr>
            </w:pPr>
          </w:p>
          <w:p w14:paraId="087E6787" w14:textId="77777777" w:rsidR="00EF4759" w:rsidRPr="00BE1A02" w:rsidRDefault="00EF4759"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74565731" w14:textId="77777777" w:rsidR="00EF4759" w:rsidRDefault="00EF4759" w:rsidP="002C7807">
            <w:pPr>
              <w:suppressAutoHyphens/>
              <w:contextualSpacing/>
              <w:rPr>
                <w:rFonts w:ascii="Aptos" w:hAnsi="Aptos" w:cstheme="minorHAnsi"/>
                <w:sz w:val="20"/>
                <w:szCs w:val="20"/>
                <w:lang w:bidi="pt-PT"/>
              </w:rPr>
            </w:pPr>
          </w:p>
          <w:p w14:paraId="2F5BF900" w14:textId="77777777" w:rsidR="00EF4759" w:rsidRDefault="00EF4759"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766C34C3" w14:textId="77777777" w:rsidR="00EF4759" w:rsidRDefault="00EF4759" w:rsidP="002C7807">
            <w:pPr>
              <w:suppressAutoHyphens/>
              <w:contextualSpacing/>
              <w:rPr>
                <w:rFonts w:ascii="Aptos" w:hAnsi="Aptos" w:cstheme="minorHAnsi"/>
                <w:sz w:val="20"/>
                <w:szCs w:val="20"/>
                <w:lang w:bidi="pt-PT"/>
              </w:rPr>
            </w:pPr>
          </w:p>
          <w:p w14:paraId="30310CC9" w14:textId="77777777" w:rsidR="00EF4759" w:rsidRDefault="00EF4759"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64C43CE1" w14:textId="77777777" w:rsidR="00EF4759" w:rsidRDefault="00EF4759" w:rsidP="002C7807">
            <w:pPr>
              <w:suppressAutoHyphens/>
              <w:contextualSpacing/>
              <w:rPr>
                <w:rFonts w:ascii="Aptos" w:hAnsi="Aptos" w:cstheme="minorHAnsi"/>
                <w:sz w:val="20"/>
                <w:szCs w:val="20"/>
                <w:lang w:bidi="pt-PT"/>
              </w:rPr>
            </w:pPr>
          </w:p>
          <w:p w14:paraId="576076FA" w14:textId="77777777" w:rsidR="00EF4759" w:rsidRPr="00425892"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2AC13C99" w14:textId="77777777" w:rsidR="00EF4759" w:rsidRDefault="00EF4759" w:rsidP="002C7807">
            <w:pPr>
              <w:suppressAutoHyphens/>
              <w:contextualSpacing/>
              <w:rPr>
                <w:rFonts w:ascii="Aptos" w:hAnsi="Aptos" w:cstheme="minorHAnsi"/>
                <w:sz w:val="20"/>
                <w:szCs w:val="20"/>
                <w:lang w:bidi="pt-PT"/>
              </w:rPr>
            </w:pPr>
          </w:p>
          <w:p w14:paraId="523E8303"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4334E43B" w14:textId="77777777" w:rsidR="00EF4759" w:rsidRDefault="00EF4759" w:rsidP="002C7807">
            <w:pPr>
              <w:suppressAutoHyphens/>
              <w:contextualSpacing/>
              <w:rPr>
                <w:rFonts w:ascii="Aptos" w:hAnsi="Aptos" w:cstheme="minorHAnsi"/>
                <w:sz w:val="20"/>
                <w:szCs w:val="20"/>
                <w:lang w:bidi="pt-PT"/>
              </w:rPr>
            </w:pPr>
          </w:p>
          <w:p w14:paraId="5F24729D" w14:textId="77777777" w:rsidR="00EF4759" w:rsidRDefault="00EF4759"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144DE04F" w14:textId="77777777" w:rsidR="00EF4759" w:rsidRDefault="00EF4759" w:rsidP="002C7807">
            <w:pPr>
              <w:suppressAutoHyphens/>
              <w:contextualSpacing/>
              <w:rPr>
                <w:rFonts w:ascii="Aptos" w:hAnsi="Aptos" w:cstheme="minorHAnsi"/>
                <w:sz w:val="20"/>
                <w:szCs w:val="20"/>
                <w:lang w:bidi="pt-PT"/>
              </w:rPr>
            </w:pPr>
          </w:p>
          <w:p w14:paraId="0AA2E010" w14:textId="77777777" w:rsidR="00EF4759" w:rsidRPr="00C4612F"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257A837B" w14:textId="77777777" w:rsidR="00EF4759" w:rsidRDefault="00EF4759"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6812CBF7" w14:textId="77777777" w:rsidR="00EF4759" w:rsidRDefault="00EF4759" w:rsidP="002C7807">
            <w:pPr>
              <w:suppressAutoHyphens/>
              <w:contextualSpacing/>
              <w:rPr>
                <w:rFonts w:ascii="Aptos" w:hAnsi="Aptos" w:cstheme="minorHAnsi"/>
                <w:sz w:val="20"/>
                <w:szCs w:val="20"/>
                <w:lang w:bidi="pt-PT"/>
              </w:rPr>
            </w:pPr>
          </w:p>
          <w:p w14:paraId="3427AB1B"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0DC059E" w14:textId="77777777" w:rsidR="00EF4759" w:rsidRDefault="00EF4759" w:rsidP="002C7807">
            <w:pPr>
              <w:suppressAutoHyphens/>
              <w:contextualSpacing/>
              <w:rPr>
                <w:rFonts w:ascii="Aptos" w:hAnsi="Aptos" w:cstheme="minorHAnsi"/>
                <w:sz w:val="20"/>
                <w:szCs w:val="20"/>
                <w:lang w:bidi="pt-PT"/>
              </w:rPr>
            </w:pPr>
          </w:p>
          <w:p w14:paraId="43D0844C" w14:textId="77777777" w:rsidR="00EF4759" w:rsidRPr="00BE1A02"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317021DD"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35CFF55A"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06043DEA" w14:textId="77777777" w:rsidR="00EF4759" w:rsidRPr="00BE1A02"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lastRenderedPageBreak/>
              <w:t>Faturas;</w:t>
            </w:r>
          </w:p>
          <w:p w14:paraId="6BC7E0AB"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E02F5D5" w14:textId="77777777" w:rsidR="00EF4759" w:rsidRDefault="00EF4759" w:rsidP="002C7807">
            <w:pPr>
              <w:suppressAutoHyphens/>
              <w:contextualSpacing/>
              <w:rPr>
                <w:rFonts w:ascii="Aptos" w:hAnsi="Aptos" w:cstheme="minorHAnsi"/>
                <w:sz w:val="20"/>
                <w:szCs w:val="20"/>
                <w:lang w:bidi="pt-PT"/>
              </w:rPr>
            </w:pPr>
          </w:p>
          <w:p w14:paraId="7BDB0C4B" w14:textId="77777777" w:rsidR="00EF4759" w:rsidRPr="002418D8" w:rsidRDefault="00EF4759"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1D73829A" w14:textId="77777777" w:rsidR="00EF4759" w:rsidRDefault="00EF4759" w:rsidP="002C7807">
            <w:pPr>
              <w:suppressAutoHyphens/>
              <w:contextualSpacing/>
              <w:rPr>
                <w:rFonts w:ascii="Aptos" w:hAnsi="Aptos" w:cstheme="minorHAnsi"/>
                <w:sz w:val="20"/>
                <w:szCs w:val="20"/>
                <w:lang w:bidi="pt-PT"/>
              </w:rPr>
            </w:pPr>
          </w:p>
          <w:p w14:paraId="736600F8"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55E5EB53" w14:textId="77777777" w:rsidR="00EF4759" w:rsidRDefault="00EF4759" w:rsidP="002C7807">
            <w:pPr>
              <w:suppressAutoHyphens/>
              <w:contextualSpacing/>
              <w:rPr>
                <w:rFonts w:ascii="Aptos" w:hAnsi="Aptos" w:cstheme="minorHAnsi"/>
                <w:sz w:val="20"/>
                <w:szCs w:val="20"/>
                <w:lang w:bidi="pt-PT"/>
              </w:rPr>
            </w:pPr>
          </w:p>
          <w:p w14:paraId="7081C17E" w14:textId="77777777" w:rsidR="00EF4759"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3CE8DFA8" w14:textId="77777777" w:rsidR="00EF4759" w:rsidRDefault="00EF4759" w:rsidP="002C7807">
            <w:pPr>
              <w:suppressAutoHyphens/>
              <w:contextualSpacing/>
              <w:rPr>
                <w:rFonts w:ascii="Aptos" w:hAnsi="Aptos" w:cstheme="minorHAnsi"/>
                <w:b/>
                <w:bCs/>
                <w:sz w:val="20"/>
                <w:szCs w:val="20"/>
                <w:lang w:bidi="pt-PT"/>
              </w:rPr>
            </w:pPr>
          </w:p>
          <w:p w14:paraId="4CD904A0" w14:textId="77777777" w:rsidR="00EF4759" w:rsidRDefault="00EF4759"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3C934ABD" w14:textId="77777777" w:rsidR="00EF4759" w:rsidRDefault="00EF4759" w:rsidP="002C7807">
            <w:pPr>
              <w:suppressAutoHyphens/>
              <w:contextualSpacing/>
              <w:rPr>
                <w:rFonts w:ascii="Aptos" w:hAnsi="Aptos" w:cstheme="minorHAnsi"/>
                <w:b/>
                <w:bCs/>
                <w:sz w:val="20"/>
                <w:szCs w:val="20"/>
                <w:lang w:bidi="pt-PT"/>
              </w:rPr>
            </w:pPr>
          </w:p>
          <w:p w14:paraId="79A6FB9D"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160FB6C4" w14:textId="77777777" w:rsidR="00EF4759" w:rsidRDefault="00EF4759" w:rsidP="002C7807">
            <w:pPr>
              <w:suppressAutoHyphens/>
              <w:contextualSpacing/>
              <w:rPr>
                <w:rFonts w:ascii="Aptos" w:hAnsi="Aptos" w:cstheme="minorHAnsi"/>
                <w:sz w:val="20"/>
                <w:szCs w:val="20"/>
                <w:lang w:bidi="pt-PT"/>
              </w:rPr>
            </w:pPr>
          </w:p>
          <w:p w14:paraId="73E33313"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6E2B50BE" w14:textId="77777777" w:rsidR="00EF4759" w:rsidRDefault="00EF4759" w:rsidP="002C7807">
            <w:pPr>
              <w:suppressAutoHyphens/>
              <w:contextualSpacing/>
              <w:rPr>
                <w:rFonts w:ascii="Aptos" w:hAnsi="Aptos" w:cstheme="minorHAnsi"/>
                <w:sz w:val="20"/>
                <w:szCs w:val="20"/>
                <w:lang w:bidi="pt-PT"/>
              </w:rPr>
            </w:pPr>
          </w:p>
          <w:p w14:paraId="0EC57825" w14:textId="77777777" w:rsidR="00EF4759" w:rsidRPr="00403746" w:rsidRDefault="00EF4759"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489EE54E" w14:textId="77777777" w:rsidR="00EF4759" w:rsidRPr="003A6D2B" w:rsidRDefault="00EF4759" w:rsidP="002C7807">
            <w:pPr>
              <w:suppressAutoHyphens/>
              <w:contextualSpacing/>
              <w:rPr>
                <w:rFonts w:ascii="Aptos" w:hAnsi="Aptos" w:cstheme="minorHAnsi"/>
                <w:sz w:val="20"/>
                <w:szCs w:val="20"/>
                <w:lang w:bidi="pt-PT"/>
              </w:rPr>
            </w:pPr>
          </w:p>
          <w:p w14:paraId="12CFAE37"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445B356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4F1DF9B" w14:textId="77777777" w:rsidTr="002C7807">
        <w:trPr>
          <w:trHeight w:val="718"/>
        </w:trPr>
        <w:tc>
          <w:tcPr>
            <w:tcW w:w="4531" w:type="dxa"/>
            <w:shd w:val="clear" w:color="auto" w:fill="D9D9D9"/>
            <w:vAlign w:val="center"/>
          </w:tcPr>
          <w:p w14:paraId="25FBD867"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49A9AEAD" w14:textId="77777777" w:rsidR="00EF4759" w:rsidRDefault="00EF4759" w:rsidP="002C7807">
            <w:pPr>
              <w:suppressAutoHyphens/>
              <w:contextualSpacing/>
              <w:jc w:val="both"/>
              <w:rPr>
                <w:rFonts w:ascii="Aptos" w:hAnsi="Aptos" w:cstheme="minorHAnsi"/>
                <w:sz w:val="20"/>
                <w:szCs w:val="20"/>
              </w:rPr>
            </w:pPr>
          </w:p>
          <w:p w14:paraId="0D9EF2BA" w14:textId="12F14F6A"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do serviço fatura sem papel (SFSP)</w:t>
            </w:r>
            <w:r>
              <w:rPr>
                <w:rFonts w:ascii="Aptos" w:hAnsi="Aptos" w:cstheme="minorHAnsi"/>
                <w:sz w:val="20"/>
                <w:szCs w:val="20"/>
              </w:rPr>
              <w:t>.</w:t>
            </w:r>
          </w:p>
          <w:p w14:paraId="25D26ED0"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2528CC01" w14:textId="77777777" w:rsidTr="002C7807">
        <w:trPr>
          <w:trHeight w:val="680"/>
        </w:trPr>
        <w:tc>
          <w:tcPr>
            <w:tcW w:w="4531" w:type="dxa"/>
            <w:shd w:val="clear" w:color="auto" w:fill="D9D9D9"/>
            <w:vAlign w:val="center"/>
          </w:tcPr>
          <w:p w14:paraId="1E1C0012"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333B864F" w14:textId="77777777" w:rsidR="00EF4759" w:rsidRDefault="00EF4759" w:rsidP="002C7807">
            <w:pPr>
              <w:suppressAutoHyphens/>
              <w:contextualSpacing/>
              <w:rPr>
                <w:rFonts w:ascii="Aptos" w:hAnsi="Aptos" w:cstheme="minorHAnsi"/>
                <w:sz w:val="20"/>
                <w:szCs w:val="20"/>
                <w:lang w:bidi="pt-PT"/>
              </w:rPr>
            </w:pPr>
          </w:p>
          <w:p w14:paraId="0D9C6164" w14:textId="77777777" w:rsidR="00EF4759" w:rsidRDefault="00EF4759"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D06113" w14:textId="4B584A93" w:rsidR="00EF4759" w:rsidRPr="00837226" w:rsidRDefault="00EF4759" w:rsidP="00E51D22">
            <w:pPr>
              <w:suppressAutoHyphens/>
              <w:contextualSpacing/>
              <w:rPr>
                <w:rFonts w:ascii="Aptos" w:hAnsi="Aptos" w:cstheme="minorHAnsi"/>
                <w:sz w:val="20"/>
                <w:szCs w:val="20"/>
                <w:lang w:bidi="pt-PT"/>
              </w:rPr>
            </w:pPr>
            <w:r>
              <w:rPr>
                <w:rStyle w:val="ui-provider"/>
              </w:rPr>
              <w:t>Os dados em causa são os necessários para emissão de fatura e respetivo envio por via eletrónica.</w:t>
            </w:r>
          </w:p>
        </w:tc>
      </w:tr>
      <w:tr w:rsidR="00EF4759" w:rsidRPr="00837226" w14:paraId="1305C342" w14:textId="77777777" w:rsidTr="002C7807">
        <w:trPr>
          <w:trHeight w:val="680"/>
        </w:trPr>
        <w:tc>
          <w:tcPr>
            <w:tcW w:w="4531" w:type="dxa"/>
            <w:shd w:val="clear" w:color="auto" w:fill="D9D9D9"/>
            <w:vAlign w:val="center"/>
          </w:tcPr>
          <w:p w14:paraId="2926FB6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395" w:type="dxa"/>
            <w:vAlign w:val="center"/>
          </w:tcPr>
          <w:p w14:paraId="4D07AD5A" w14:textId="77777777" w:rsidR="00EF4759" w:rsidRDefault="00EF4759" w:rsidP="002C7807">
            <w:pPr>
              <w:suppressAutoHyphens/>
              <w:contextualSpacing/>
              <w:rPr>
                <w:rFonts w:ascii="Aptos" w:hAnsi="Aptos" w:cstheme="minorHAnsi"/>
                <w:sz w:val="20"/>
                <w:szCs w:val="20"/>
                <w:lang w:bidi="pt-PT"/>
              </w:rPr>
            </w:pPr>
          </w:p>
          <w:p w14:paraId="3A9235D4"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1627E19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B43D7EE" w14:textId="77777777" w:rsidTr="002C7807">
        <w:trPr>
          <w:trHeight w:val="680"/>
        </w:trPr>
        <w:tc>
          <w:tcPr>
            <w:tcW w:w="4531" w:type="dxa"/>
            <w:shd w:val="clear" w:color="auto" w:fill="D9D9D9"/>
            <w:vAlign w:val="center"/>
          </w:tcPr>
          <w:p w14:paraId="5F20824F"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D33E78A" w14:textId="77777777" w:rsidR="00EF4759" w:rsidRDefault="00EF4759" w:rsidP="002C7807">
            <w:pPr>
              <w:suppressAutoHyphens/>
              <w:contextualSpacing/>
              <w:jc w:val="both"/>
              <w:rPr>
                <w:rFonts w:ascii="Aptos" w:hAnsi="Aptos" w:cstheme="minorHAnsi"/>
                <w:sz w:val="20"/>
                <w:szCs w:val="20"/>
              </w:rPr>
            </w:pPr>
          </w:p>
          <w:p w14:paraId="4B4686FA" w14:textId="77777777"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6BB509BF" w14:textId="77777777" w:rsidR="00EF4759" w:rsidRPr="00837226" w:rsidRDefault="00EF4759" w:rsidP="002C7807">
            <w:pPr>
              <w:suppressAutoHyphens/>
              <w:contextualSpacing/>
              <w:jc w:val="both"/>
              <w:rPr>
                <w:rFonts w:ascii="Aptos" w:hAnsi="Aptos" w:cstheme="minorHAnsi"/>
                <w:sz w:val="20"/>
                <w:szCs w:val="20"/>
              </w:rPr>
            </w:pPr>
          </w:p>
        </w:tc>
      </w:tr>
      <w:tr w:rsidR="00EF4759" w:rsidRPr="00837226" w14:paraId="60852205" w14:textId="77777777" w:rsidTr="002C7807">
        <w:trPr>
          <w:trHeight w:val="680"/>
        </w:trPr>
        <w:tc>
          <w:tcPr>
            <w:tcW w:w="4531" w:type="dxa"/>
            <w:shd w:val="clear" w:color="auto" w:fill="D9D9D9"/>
            <w:vAlign w:val="center"/>
          </w:tcPr>
          <w:p w14:paraId="14BF7C89"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11195AA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4B78C11" w14:textId="77777777" w:rsidR="00EF4759" w:rsidRPr="00837226"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EF4759" w:rsidRPr="00837226" w14:paraId="1EED5525" w14:textId="77777777" w:rsidTr="002C7807">
        <w:trPr>
          <w:trHeight w:val="680"/>
        </w:trPr>
        <w:tc>
          <w:tcPr>
            <w:tcW w:w="4531" w:type="dxa"/>
            <w:shd w:val="clear" w:color="auto" w:fill="D9D9D9"/>
            <w:vAlign w:val="center"/>
          </w:tcPr>
          <w:p w14:paraId="6E76FC5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BBB6B3" w14:textId="77777777" w:rsidR="00EF4759" w:rsidRPr="00A43B72" w:rsidRDefault="00EF4759" w:rsidP="002C7807">
            <w:pPr>
              <w:suppressAutoHyphens/>
              <w:contextualSpacing/>
              <w:rPr>
                <w:rFonts w:ascii="Aptos" w:hAnsi="Aptos" w:cs="Calibri"/>
                <w:sz w:val="20"/>
                <w:szCs w:val="20"/>
                <w:lang w:bidi="pt-PT"/>
              </w:rPr>
            </w:pPr>
            <w:hyperlink r:id="rId15" w:history="1">
              <w:r w:rsidRPr="00A43B72">
                <w:rPr>
                  <w:rStyle w:val="Hyperlink"/>
                  <w:rFonts w:ascii="Aptos" w:hAnsi="Aptos" w:cs="Calibri"/>
                  <w:sz w:val="20"/>
                  <w:szCs w:val="20"/>
                  <w:lang w:bidi="pt-PT"/>
                </w:rPr>
                <w:t>dpo@ama.gov.pt</w:t>
              </w:r>
            </w:hyperlink>
          </w:p>
          <w:p w14:paraId="6D5CDF3F" w14:textId="77777777" w:rsidR="00EF4759" w:rsidRPr="00837226" w:rsidRDefault="00EF4759" w:rsidP="002C7807">
            <w:pPr>
              <w:suppressAutoHyphens/>
              <w:contextualSpacing/>
              <w:rPr>
                <w:rFonts w:ascii="Aptos" w:hAnsi="Aptos" w:cs="Calibri"/>
                <w:lang w:bidi="pt-PT"/>
              </w:rPr>
            </w:pPr>
            <w:hyperlink r:id="rId16"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11E83D98" w14:textId="77777777" w:rsidR="00EF4759" w:rsidRPr="00837226" w:rsidRDefault="00EF4759" w:rsidP="00EF4759">
      <w:pPr>
        <w:pStyle w:val="Default"/>
        <w:spacing w:line="360" w:lineRule="auto"/>
        <w:jc w:val="both"/>
        <w:rPr>
          <w:rFonts w:ascii="Aptos" w:eastAsia="Times New Roman" w:hAnsi="Aptos" w:cs="Times New Roman"/>
          <w:color w:val="auto"/>
          <w:sz w:val="20"/>
          <w:szCs w:val="20"/>
          <w:lang w:val="pt-PT" w:eastAsia="pt-PT"/>
        </w:rPr>
      </w:pPr>
    </w:p>
    <w:p w14:paraId="183E85DD" w14:textId="77777777" w:rsidR="00DC1F4F" w:rsidRPr="00250034" w:rsidRDefault="00DC1F4F" w:rsidP="00250034">
      <w:pPr>
        <w:spacing w:after="0" w:line="360" w:lineRule="auto"/>
        <w:ind w:left="1416"/>
        <w:contextualSpacing/>
        <w:rPr>
          <w:rFonts w:ascii="Aptos" w:hAnsi="Aptos" w:cstheme="minorHAnsi"/>
          <w:sz w:val="20"/>
          <w:szCs w:val="20"/>
        </w:rPr>
      </w:pPr>
    </w:p>
    <w:sectPr w:rsidR="00DC1F4F" w:rsidRPr="00250034">
      <w:headerReference w:type="default" r:id="rId17"/>
      <w:foot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 w:id="1">
    <w:p w14:paraId="158F98D5"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40E6E817"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562837C"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5F5B10AD" w14:textId="77777777" w:rsidR="00EF4759" w:rsidRPr="00825F71" w:rsidRDefault="00EF4759" w:rsidP="00EF4759">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3E7B61B5"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r w:rsidR="00342756">
      <w:rPr>
        <w:rFonts w:cs="Arial"/>
        <w:caps/>
        <w:color w:val="595959" w:themeColor="text1" w:themeTint="A6"/>
        <w:lang w:eastAsia="pt-PT"/>
      </w:rPr>
      <w:t xml:space="preserve"> </w:t>
    </w:r>
  </w:p>
  <w:p w14:paraId="1724CE03" w14:textId="6A6082A4"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PROTOCOLO ENTRE A AGÊNCIA PARA A MODERNIZAÇÃO ADMINISTRATIVA,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8"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3"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7"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9"/>
  </w:num>
  <w:num w:numId="6" w16cid:durableId="2133791539">
    <w:abstractNumId w:val="26"/>
  </w:num>
  <w:num w:numId="7" w16cid:durableId="836113299">
    <w:abstractNumId w:val="5"/>
  </w:num>
  <w:num w:numId="8" w16cid:durableId="689794714">
    <w:abstractNumId w:val="15"/>
  </w:num>
  <w:num w:numId="9" w16cid:durableId="1947735985">
    <w:abstractNumId w:val="0"/>
  </w:num>
  <w:num w:numId="10" w16cid:durableId="1437140692">
    <w:abstractNumId w:val="17"/>
  </w:num>
  <w:num w:numId="11" w16cid:durableId="748697686">
    <w:abstractNumId w:val="27"/>
  </w:num>
  <w:num w:numId="12" w16cid:durableId="312225165">
    <w:abstractNumId w:val="9"/>
  </w:num>
  <w:num w:numId="13" w16cid:durableId="1882664463">
    <w:abstractNumId w:val="14"/>
  </w:num>
  <w:num w:numId="14" w16cid:durableId="186144637">
    <w:abstractNumId w:val="3"/>
  </w:num>
  <w:num w:numId="15" w16cid:durableId="1093434061">
    <w:abstractNumId w:val="21"/>
  </w:num>
  <w:num w:numId="16" w16cid:durableId="734740471">
    <w:abstractNumId w:val="11"/>
  </w:num>
  <w:num w:numId="17" w16cid:durableId="421995572">
    <w:abstractNumId w:val="13"/>
  </w:num>
  <w:num w:numId="18" w16cid:durableId="1872719988">
    <w:abstractNumId w:val="18"/>
  </w:num>
  <w:num w:numId="19" w16cid:durableId="1520661584">
    <w:abstractNumId w:val="22"/>
  </w:num>
  <w:num w:numId="20" w16cid:durableId="1741323805">
    <w:abstractNumId w:val="4"/>
  </w:num>
  <w:num w:numId="21" w16cid:durableId="348534073">
    <w:abstractNumId w:val="1"/>
  </w:num>
  <w:num w:numId="22" w16cid:durableId="2074547339">
    <w:abstractNumId w:val="20"/>
  </w:num>
  <w:num w:numId="23" w16cid:durableId="1300460077">
    <w:abstractNumId w:val="25"/>
  </w:num>
  <w:num w:numId="24" w16cid:durableId="1070882718">
    <w:abstractNumId w:val="23"/>
  </w:num>
  <w:num w:numId="25" w16cid:durableId="1698853552">
    <w:abstractNumId w:val="7"/>
  </w:num>
  <w:num w:numId="26" w16cid:durableId="122122801">
    <w:abstractNumId w:val="6"/>
  </w:num>
  <w:num w:numId="27" w16cid:durableId="1270968944">
    <w:abstractNumId w:val="24"/>
  </w:num>
  <w:num w:numId="28" w16cid:durableId="8732686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948A8"/>
    <w:rsid w:val="000A0D0D"/>
    <w:rsid w:val="000F0BE3"/>
    <w:rsid w:val="00151AAB"/>
    <w:rsid w:val="001969FE"/>
    <w:rsid w:val="002419A3"/>
    <w:rsid w:val="00250034"/>
    <w:rsid w:val="002643A4"/>
    <w:rsid w:val="002A6CA1"/>
    <w:rsid w:val="00337F1D"/>
    <w:rsid w:val="00342756"/>
    <w:rsid w:val="00417CED"/>
    <w:rsid w:val="0055283D"/>
    <w:rsid w:val="005E4D5F"/>
    <w:rsid w:val="006237F6"/>
    <w:rsid w:val="006A08EB"/>
    <w:rsid w:val="00726FE5"/>
    <w:rsid w:val="007C67EF"/>
    <w:rsid w:val="007D4F87"/>
    <w:rsid w:val="00870E48"/>
    <w:rsid w:val="008823FF"/>
    <w:rsid w:val="009735A1"/>
    <w:rsid w:val="00973AAC"/>
    <w:rsid w:val="00AB14CD"/>
    <w:rsid w:val="00B136BB"/>
    <w:rsid w:val="00B376D4"/>
    <w:rsid w:val="00BE5B9D"/>
    <w:rsid w:val="00D050E1"/>
    <w:rsid w:val="00D45BA2"/>
    <w:rsid w:val="00D64F31"/>
    <w:rsid w:val="00DC1F4F"/>
    <w:rsid w:val="00E51D22"/>
    <w:rsid w:val="00E9525B"/>
    <w:rsid w:val="00EA2994"/>
    <w:rsid w:val="00EF4759"/>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EF4759"/>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EF475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EF4759"/>
    <w:rPr>
      <w:vertAlign w:val="superscript"/>
    </w:rPr>
  </w:style>
  <w:style w:type="table" w:customStyle="1" w:styleId="Tabelacomgrelha1">
    <w:name w:val="Tabela com grelha1"/>
    <w:basedOn w:val="TableNormal"/>
    <w:next w:val="TableGrid"/>
    <w:uiPriority w:val="59"/>
    <w:rsid w:val="00EF4759"/>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F4759"/>
  </w:style>
  <w:style w:type="table" w:styleId="TableGrid">
    <w:name w:val="Table Grid"/>
    <w:basedOn w:val="TableNormal"/>
    <w:uiPriority w:val="39"/>
    <w:rsid w:val="00EF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XXXXXXXX@YYYYY.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yperlink" Target="mailto:dpo@ama.gov.p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2535</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12</cp:revision>
  <dcterms:created xsi:type="dcterms:W3CDTF">2024-04-11T10:14:00Z</dcterms:created>
  <dcterms:modified xsi:type="dcterms:W3CDTF">2025-01-13T17:30:00Z</dcterms:modified>
</cp:coreProperties>
</file>