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/>
      </w:pPr>
      <w:r>
        <w:rPr>
          <w:rFonts w:ascii="Arial" w:hAnsi="Arial" w:eastAsia="Arial" w:cs="Arial"/>
          <w:b/>
          <w:color w:val="16845B"/>
          <w:sz w:val="22"/>
        </w:rPr>
        <w:t>ملخص دراسي</w:t>
      </w:r>
    </w:p>
    <w:p>
      <w:pPr>
        <w:spacing w:after="40"/>
        <w:jc w:val="center"/>
        <w:bidi/>
      </w:pPr>
      <w:r>
        <w:rPr>
          <w:rFonts w:ascii="Arial" w:hAnsi="Arial" w:eastAsia="Arial" w:cs="Arial"/>
          <w:b/>
          <w:color w:val="123B63"/>
          <w:sz w:val="46"/>
        </w:rPr>
        <w:t>الفرق بين المكتبات وأطر العمل</w:t>
      </w:r>
    </w:p>
    <w:p>
      <w:pPr>
        <w:spacing w:after="140"/>
        <w:jc w:val="center"/>
        <w:bidi/>
      </w:pPr>
      <w:r>
        <w:rPr>
          <w:rFonts w:ascii="Arial" w:hAnsi="Arial" w:eastAsia="Arial" w:cs="Arial"/>
          <w:b/>
          <w:color w:val="16845B"/>
          <w:sz w:val="24"/>
        </w:rPr>
        <w:t>Libraries vs. Frameworks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92"/>
            <w:vAlign w:val="center"/>
            <w:shd w:fill="EEF4FA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56718D"/>
                <w:sz w:val="18"/>
              </w:rPr>
              <w:t>إعداد الطالب</w:t>
              <w:br/>
            </w:r>
            <w:r>
              <w:rPr>
                <w:rFonts w:ascii="Arial" w:hAnsi="Arial" w:eastAsia="Arial" w:cs="Arial"/>
                <w:b/>
                <w:color w:val="123B63"/>
                <w:sz w:val="24"/>
              </w:rPr>
              <w:t>أمجد العنقزي</w:t>
            </w:r>
          </w:p>
        </w:tc>
        <w:tc>
          <w:tcPr>
            <w:tcW w:type="dxa" w:w="4592"/>
            <w:vAlign w:val="center"/>
            <w:shd w:fill="EEF4FA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56718D"/>
                <w:sz w:val="18"/>
              </w:rPr>
              <w:t>إشراف المدرس</w:t>
              <w:br/>
            </w:r>
            <w:r>
              <w:rPr>
                <w:rFonts w:ascii="Arial" w:hAnsi="Arial" w:eastAsia="Arial" w:cs="Arial"/>
                <w:b/>
                <w:color w:val="123B63"/>
                <w:sz w:val="24"/>
              </w:rPr>
              <w:t>محمد عماره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92"/>
            <w:vAlign w:val="top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  <w:shd w:fill="EAF3FF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eastAsia="Arial" w:cs="Arial"/>
                <w:b/>
                <w:color w:val="1265A3"/>
                <w:sz w:val="24"/>
              </w:rPr>
              <w:t>1) المكتبة (Library)</w:t>
            </w:r>
          </w:p>
          <w:p>
            <w:pPr>
              <w:spacing w:after="2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9"/>
              </w:rPr>
              <w:t>مجموعة من الدوال والأدوات الجاهزة لتنفيذ مهام محددة. أنت تختار متى تستدعيها، وتبقى أنت المتحكم في تدفق البرنامج.</w:t>
            </w:r>
          </w:p>
        </w:tc>
        <w:tc>
          <w:tcPr>
            <w:tcW w:type="dxa" w:w="4592"/>
            <w:vAlign w:val="top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  <w:shd w:fill="EAF7F0"/>
          </w:tcPr>
          <w:p>
            <w:pPr>
              <w:spacing w:after="60"/>
              <w:jc w:val="right"/>
              <w:bidi/>
            </w:pPr>
            <w:r>
              <w:rPr>
                <w:rFonts w:ascii="Arial" w:hAnsi="Arial" w:eastAsia="Arial" w:cs="Arial"/>
                <w:b/>
                <w:color w:val="16845B"/>
                <w:sz w:val="24"/>
              </w:rPr>
              <w:t>2) إطار العمل (Framework)</w:t>
            </w:r>
          </w:p>
          <w:p>
            <w:pPr>
              <w:spacing w:after="2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9"/>
              </w:rPr>
              <w:t>هيكل متكامل ينظم بناء التطبيق ويحدد طريقة كتابة الكود ومكانه. إطار العمل هو الذي يستدعي كودك في الوقت المناسب.</w:t>
            </w:r>
          </w:p>
        </w:tc>
      </w:tr>
    </w:tbl>
    <w:p>
      <w:pPr>
        <w:spacing w:after="60" w:before="100" w:line="245" w:lineRule="auto"/>
        <w:jc w:val="right"/>
        <w:bidi/>
      </w:pPr>
      <w:r>
        <w:rPr>
          <w:rFonts w:ascii="Arial" w:hAnsi="Arial" w:eastAsia="Arial" w:cs="Arial"/>
          <w:b/>
          <w:color w:val="123B63"/>
          <w:sz w:val="26"/>
        </w:rPr>
        <w:t>الفرق الجوهري: عكس التحكم (Inversion of Control – IoC)</w:t>
      </w:r>
    </w:p>
    <w:p>
      <w:pPr>
        <w:spacing w:after="20" w:before="0" w:line="245" w:lineRule="auto"/>
        <w:jc w:val="right"/>
        <w:bidi/>
      </w:pPr>
      <w:r>
        <w:rPr>
          <w:rFonts w:ascii="Arial" w:hAnsi="Arial" w:eastAsia="Arial" w:cs="Arial"/>
          <w:b w:val="0"/>
          <w:color w:val="203047"/>
          <w:sz w:val="19"/>
        </w:rPr>
        <w:t>• في المكتبة: أنت تستدعي الدالة عندما تحتاج إليها، أي أنك تتحكم في سير البرنامج.</w:t>
      </w:r>
    </w:p>
    <w:p>
      <w:pPr>
        <w:spacing w:after="60" w:before="0" w:line="245" w:lineRule="auto"/>
        <w:jc w:val="right"/>
        <w:bidi/>
      </w:pPr>
      <w:r>
        <w:rPr>
          <w:rFonts w:ascii="Arial" w:hAnsi="Arial" w:eastAsia="Arial" w:cs="Arial"/>
          <w:b w:val="0"/>
          <w:color w:val="203047"/>
          <w:sz w:val="19"/>
        </w:rPr>
        <w:t>• في إطار العمل: إطار العمل يدير دورة تشغيل التطبيق ويستدعي الدوال التي كتبتها وفق قواعده.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92"/>
            <w:tcBorders>
              <w:top w:val="single" w:sz="8" w:color="E7D9B8"/>
              <w:left w:val="single" w:sz="8" w:color="E7D9B8"/>
              <w:bottom w:val="single" w:sz="8" w:color="E7D9B8"/>
              <w:right w:val="single" w:sz="8" w:color="E7D9B8"/>
              <w:insideH w:val="single" w:sz="8" w:color="E7D9B8"/>
              <w:insideV w:val="single" w:sz="8" w:color="E7D9B8"/>
            </w:tcBorders>
            <w:vAlign w:val="center"/>
            <w:shd w:fill="FFF5D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/>
                <w:color w:val="76521B"/>
                <w:sz w:val="18"/>
              </w:rPr>
              <w:t>تشبيه المكتبة: أدوات بناء جاهزة تستخدمها بنفسك، مثل المطرقة والمفك.</w:t>
            </w:r>
          </w:p>
        </w:tc>
        <w:tc>
          <w:tcPr>
            <w:tcW w:type="dxa" w:w="4592"/>
            <w:tcBorders>
              <w:top w:val="single" w:sz="8" w:color="E7D9B8"/>
              <w:left w:val="single" w:sz="8" w:color="E7D9B8"/>
              <w:bottom w:val="single" w:sz="8" w:color="E7D9B8"/>
              <w:right w:val="single" w:sz="8" w:color="E7D9B8"/>
              <w:insideH w:val="single" w:sz="8" w:color="E7D9B8"/>
              <w:insideV w:val="single" w:sz="8" w:color="E7D9B8"/>
            </w:tcBorders>
            <w:vAlign w:val="center"/>
            <w:shd w:fill="FFF5D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/>
                <w:color w:val="76521B"/>
                <w:sz w:val="18"/>
              </w:rPr>
              <w:t>تشبيه إطار العمل: شركة مقاولات تقدم خطة ونظامًا متكاملًا للبناء.</w:t>
            </w:r>
          </w:p>
        </w:tc>
      </w:tr>
    </w:tbl>
    <w:p>
      <w:pPr>
        <w:spacing w:after="60" w:before="100" w:line="245" w:lineRule="auto"/>
        <w:jc w:val="right"/>
        <w:bidi/>
      </w:pPr>
      <w:r>
        <w:rPr>
          <w:rFonts w:ascii="Arial" w:hAnsi="Arial" w:eastAsia="Arial" w:cs="Arial"/>
          <w:b/>
          <w:color w:val="123B63"/>
          <w:sz w:val="26"/>
        </w:rPr>
        <w:t>أمثلة حسب لغات البرمجة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742"/>
        <w:gridCol w:w="3742"/>
      </w:tblGrid>
      <w:tr>
        <w:tc>
          <w:tcPr>
            <w:tcW w:type="dxa" w:w="1701"/>
            <w:shd w:fill="123B63"/>
          </w:tcPr>
          <w:p>
            <w:pPr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اللغة</w:t>
            </w:r>
          </w:p>
        </w:tc>
        <w:tc>
          <w:tcPr>
            <w:tcW w:type="dxa" w:w="3742"/>
            <w:shd w:fill="123B63"/>
          </w:tcPr>
          <w:p>
            <w:pPr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مكتبات (Libraries)</w:t>
            </w:r>
          </w:p>
        </w:tc>
        <w:tc>
          <w:tcPr>
            <w:tcW w:type="dxa" w:w="3742"/>
            <w:shd w:fill="123B63"/>
          </w:tcPr>
          <w:p>
            <w:pPr>
              <w:jc w:val="center"/>
              <w:bidi/>
            </w:pPr>
            <w:r>
              <w:rPr>
                <w:rFonts w:ascii="Arial" w:hAnsi="Arial" w:eastAsia="Arial" w:cs="Arial"/>
                <w:b/>
                <w:color w:val="FFFFFF"/>
                <w:sz w:val="18"/>
              </w:rPr>
              <w:t>أطر عمل (Frameworks)</w:t>
            </w:r>
          </w:p>
        </w:tc>
      </w:tr>
      <w:tr>
        <w:tc>
          <w:tcPr>
            <w:tcW w:type="dxa" w:w="1701"/>
            <w:shd w:fill="F4F7FB"/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203047"/>
                <w:sz w:val="17"/>
              </w:rPr>
              <w:t>Python</w:t>
            </w:r>
          </w:p>
        </w:tc>
        <w:tc>
          <w:tcPr>
            <w:tcW w:type="dxa" w:w="3742"/>
            <w:shd w:fill="F4F7FB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NumPy، Pandas، Requests</w:t>
            </w:r>
          </w:p>
        </w:tc>
        <w:tc>
          <w:tcPr>
            <w:tcW w:type="dxa" w:w="3742"/>
            <w:shd w:fill="F4F7FB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Django، Flask، FastAPI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203047"/>
                <w:sz w:val="17"/>
              </w:rPr>
              <w:t>C / C++</w:t>
            </w:r>
          </w:p>
        </w:tc>
        <w:tc>
          <w:tcPr>
            <w:tcW w:type="dxa" w:w="3742"/>
            <w:shd w:fill="FFFFF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stdio.h، string.h، math.h، Boost</w:t>
            </w:r>
          </w:p>
        </w:tc>
        <w:tc>
          <w:tcPr>
            <w:tcW w:type="dxa" w:w="3742"/>
            <w:shd w:fill="FFFFF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Qt، JUCE، CppREST SDK</w:t>
            </w:r>
          </w:p>
        </w:tc>
      </w:tr>
      <w:tr>
        <w:tc>
          <w:tcPr>
            <w:tcW w:type="dxa" w:w="1701"/>
            <w:shd w:fill="F4F7FB"/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203047"/>
                <w:sz w:val="17"/>
              </w:rPr>
              <w:t>JavaScript</w:t>
            </w:r>
          </w:p>
        </w:tc>
        <w:tc>
          <w:tcPr>
            <w:tcW w:type="dxa" w:w="3742"/>
            <w:shd w:fill="F4F7FB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Axios، Lodash، Chart.js، React*</w:t>
            </w:r>
          </w:p>
        </w:tc>
        <w:tc>
          <w:tcPr>
            <w:tcW w:type="dxa" w:w="3742"/>
            <w:shd w:fill="F4F7FB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Angular، Next.js، NestJS</w:t>
            </w:r>
          </w:p>
        </w:tc>
      </w:tr>
      <w:tr>
        <w:tc>
          <w:tcPr>
            <w:tcW w:type="dxa" w:w="1701"/>
            <w:shd w:fill="FFFFFF"/>
          </w:tcPr>
          <w:p>
            <w:pPr>
              <w:spacing w:after="20"/>
              <w:jc w:val="center"/>
              <w:bidi/>
            </w:pPr>
            <w:r>
              <w:rPr>
                <w:rFonts w:ascii="Arial" w:hAnsi="Arial" w:eastAsia="Arial" w:cs="Arial"/>
                <w:b/>
                <w:color w:val="203047"/>
                <w:sz w:val="17"/>
              </w:rPr>
              <w:t>Java</w:t>
            </w:r>
          </w:p>
        </w:tc>
        <w:tc>
          <w:tcPr>
            <w:tcW w:type="dxa" w:w="3742"/>
            <w:shd w:fill="FFFFF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Gson، JUnit، Apache Commons</w:t>
            </w:r>
          </w:p>
        </w:tc>
        <w:tc>
          <w:tcPr>
            <w:tcW w:type="dxa" w:w="3742"/>
            <w:shd w:fill="FFFFFF"/>
          </w:tcPr>
          <w:p>
            <w:pPr>
              <w:spacing w:after="20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Spring، Spring Boot، Jakarta EE</w:t>
            </w:r>
          </w:p>
        </w:tc>
      </w:tr>
    </w:tbl>
    <w:p>
      <w:pPr>
        <w:spacing w:after="40" w:before="40" w:line="245" w:lineRule="auto"/>
        <w:jc w:val="right"/>
        <w:bidi/>
      </w:pPr>
      <w:r>
        <w:rPr>
          <w:rFonts w:ascii="Arial" w:hAnsi="Arial" w:eastAsia="Arial" w:cs="Arial"/>
          <w:b w:val="0"/>
          <w:color w:val="64748B"/>
          <w:sz w:val="16"/>
        </w:rPr>
        <w:t>* React تُصنّف تقنيًا مكتبة لواجهات المستخدم، وليست إطار عمل تقليديًا.</w:t>
      </w:r>
    </w:p>
    <w:p>
      <w:pPr>
        <w:spacing w:after="40" w:before="80" w:line="245" w:lineRule="auto"/>
        <w:jc w:val="right"/>
        <w:bidi/>
      </w:pPr>
      <w:r>
        <w:rPr>
          <w:rFonts w:ascii="Arial" w:hAnsi="Arial" w:eastAsia="Arial" w:cs="Arial"/>
          <w:b/>
          <w:color w:val="123B63"/>
          <w:sz w:val="24"/>
        </w:rPr>
        <w:t>مميزات الاستخدام ومتى نختار؟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4592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  <w:shd w:fill="EAF3FF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color w:val="1265A3"/>
                <w:sz w:val="20"/>
              </w:rPr>
              <w:t>المكتبة</w:t>
            </w:r>
          </w:p>
          <w:p>
            <w:pPr>
              <w:spacing w:after="2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• مرونة وحرية أكبر.</w:t>
              <w:br/>
              <w:t>• مناسبة لمهمة محددة أو مشروع صغير/متوسط.</w:t>
              <w:br/>
              <w:t>• لا تفرض بنية ثابتة، لكنك تتخذ قرارات تنظيمية أكثر.</w:t>
            </w:r>
          </w:p>
        </w:tc>
        <w:tc>
          <w:tcPr>
            <w:tcW w:type="dxa" w:w="4592"/>
            <w:tcBorders>
              <w:top w:val="single" w:sz="8" w:color="D7E3F0"/>
              <w:left w:val="single" w:sz="8" w:color="D7E3F0"/>
              <w:bottom w:val="single" w:sz="8" w:color="D7E3F0"/>
              <w:right w:val="single" w:sz="8" w:color="D7E3F0"/>
              <w:insideH w:val="single" w:sz="8" w:color="D7E3F0"/>
              <w:insideV w:val="single" w:sz="8" w:color="D7E3F0"/>
            </w:tcBorders>
            <w:shd w:fill="EAF7F0"/>
          </w:tcPr>
          <w:p>
            <w:pPr>
              <w:spacing w:after="40"/>
              <w:jc w:val="right"/>
              <w:bidi/>
            </w:pPr>
            <w:r>
              <w:rPr>
                <w:rFonts w:ascii="Arial" w:hAnsi="Arial" w:eastAsia="Arial" w:cs="Arial"/>
                <w:b/>
                <w:color w:val="16845B"/>
                <w:sz w:val="20"/>
              </w:rPr>
              <w:t>إطار العمل</w:t>
            </w:r>
          </w:p>
          <w:p>
            <w:pPr>
              <w:spacing w:after="20" w:line="240" w:lineRule="auto"/>
              <w:jc w:val="right"/>
              <w:bidi/>
            </w:pPr>
            <w:r>
              <w:rPr>
                <w:rFonts w:ascii="Arial" w:hAnsi="Arial" w:eastAsia="Arial" w:cs="Arial"/>
                <w:b w:val="0"/>
                <w:color w:val="203047"/>
                <w:sz w:val="17"/>
              </w:rPr>
              <w:t>• ينظم المشروع ويوفر حلولًا جاهزة.</w:t>
              <w:br/>
              <w:t>• مناسب للتطبيقات الكبيرة والعمل الجماعي.</w:t>
              <w:br/>
              <w:t>• يسرّع التطوير، لكنه يفرض قواعد وبنية محددة.</w:t>
            </w:r>
          </w:p>
        </w:tc>
      </w:tr>
    </w:tbl>
    <w:p>
      <w:pPr>
        <w:spacing w:before="120" w:after="0"/>
        <w:jc w:val="center"/>
        <w:bidi/>
        <w:shd w:fill="123B63"/>
      </w:pPr>
      <w:r>
        <w:rPr>
          <w:rFonts w:ascii="Arial" w:hAnsi="Arial" w:eastAsia="Arial" w:cs="Arial"/>
          <w:b/>
          <w:color w:val="FFFFFF"/>
          <w:sz w:val="18"/>
        </w:rPr>
        <w:t>الخلاصة: يمكن استخدامهما معًا؛ فإطار العمل ينظم التطبيق، وتضيف إليه المكتبات لتنفيذ مهام محددة، فتحصل على التنظيم والمرونة في الوقت نفسه.</w:t>
      </w:r>
    </w:p>
    <w:sectPr w:rsidR="00FC693F" w:rsidRPr="0006063C" w:rsidSect="00034616">
      <w:footerReference w:type="default" r:id="rId9"/>
      <w:pgSz w:w="12240" w:h="15840"/>
      <w:pgMar w:top="822" w:right="964" w:bottom="76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  <w:bidi/>
    </w:pPr>
    <w:r>
      <w:rPr>
        <w:rFonts w:ascii="Arial" w:hAnsi="Arial" w:eastAsia="Arial" w:cs="Arial"/>
        <w:b w:val="0"/>
        <w:color w:val="7A8795"/>
        <w:sz w:val="16"/>
      </w:rPr>
      <w:t>ملخص: Libraries &amp; Frameworks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