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882B" w14:textId="77777777" w:rsidR="00722879" w:rsidRPr="002A301A" w:rsidRDefault="00722879" w:rsidP="00722879">
      <w:pPr>
        <w:jc w:val="center"/>
      </w:pPr>
      <w:r w:rsidRPr="002A301A">
        <w:rPr>
          <w:noProof/>
          <w:sz w:val="24"/>
          <w:szCs w:val="24"/>
        </w:rPr>
        <w:drawing>
          <wp:inline distT="0" distB="0" distL="0" distR="0" wp14:anchorId="1DC2497C" wp14:editId="4189ECEB">
            <wp:extent cx="2867025" cy="800100"/>
            <wp:effectExtent l="0" t="0" r="9525" b="0"/>
            <wp:docPr id="739406466" name="Рисунок 739406466"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часы&#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800100"/>
                    </a:xfrm>
                    <a:prstGeom prst="rect">
                      <a:avLst/>
                    </a:prstGeom>
                    <a:noFill/>
                  </pic:spPr>
                </pic:pic>
              </a:graphicData>
            </a:graphic>
          </wp:inline>
        </w:drawing>
      </w:r>
    </w:p>
    <w:p w14:paraId="120C830F" w14:textId="77777777" w:rsidR="00722879" w:rsidRPr="002A301A" w:rsidRDefault="00722879" w:rsidP="00722879">
      <w:pPr>
        <w:jc w:val="both"/>
        <w:rPr>
          <w:sz w:val="24"/>
          <w:szCs w:val="24"/>
        </w:rPr>
      </w:pPr>
    </w:p>
    <w:p w14:paraId="5BC98D78" w14:textId="2B897297" w:rsidR="003961EF" w:rsidRDefault="001E43AF" w:rsidP="6ACFD1DC">
      <w:pPr>
        <w:jc w:val="right"/>
        <w:rPr>
          <w:i/>
          <w:iCs/>
          <w:lang w:val="en-US"/>
        </w:rPr>
      </w:pPr>
      <w:r w:rsidRPr="6ACFD1DC">
        <w:rPr>
          <w:i/>
          <w:iCs/>
          <w:lang w:val="en-US"/>
        </w:rPr>
        <w:t>Full name-</w:t>
      </w:r>
      <w:proofErr w:type="spellStart"/>
      <w:r w:rsidR="00C9584E">
        <w:rPr>
          <w:i/>
          <w:iCs/>
          <w:lang w:val="en-US"/>
        </w:rPr>
        <w:t>Am</w:t>
      </w:r>
      <w:r w:rsidR="008D3DE7">
        <w:rPr>
          <w:i/>
          <w:iCs/>
          <w:lang w:val="en-US"/>
        </w:rPr>
        <w:t>albek</w:t>
      </w:r>
      <w:proofErr w:type="spellEnd"/>
      <w:r w:rsidR="008D3DE7">
        <w:rPr>
          <w:i/>
          <w:iCs/>
          <w:lang w:val="en-US"/>
        </w:rPr>
        <w:t xml:space="preserve"> </w:t>
      </w:r>
      <w:proofErr w:type="spellStart"/>
      <w:r w:rsidR="008D3DE7">
        <w:rPr>
          <w:i/>
          <w:iCs/>
          <w:lang w:val="en-US"/>
        </w:rPr>
        <w:t>Dinmukhamed</w:t>
      </w:r>
      <w:proofErr w:type="spellEnd"/>
    </w:p>
    <w:p w14:paraId="16023401" w14:textId="719F2367" w:rsidR="001E43AF" w:rsidRPr="00221519" w:rsidRDefault="001E43AF" w:rsidP="6ACFD1DC">
      <w:pPr>
        <w:jc w:val="right"/>
        <w:rPr>
          <w:i/>
          <w:iCs/>
          <w:lang w:val="en-US"/>
        </w:rPr>
      </w:pPr>
      <w:r w:rsidRPr="6ACFD1DC">
        <w:rPr>
          <w:i/>
          <w:iCs/>
          <w:lang w:val="en-US"/>
        </w:rPr>
        <w:t>Gmail-</w:t>
      </w:r>
      <w:r w:rsidR="008D3DE7">
        <w:rPr>
          <w:i/>
          <w:iCs/>
          <w:lang w:val="en-US"/>
        </w:rPr>
        <w:t>d_amalbek</w:t>
      </w:r>
      <w:r w:rsidR="00C9584E">
        <w:rPr>
          <w:i/>
          <w:iCs/>
          <w:lang w:val="en-US"/>
        </w:rPr>
        <w:t>@kbtu.kz</w:t>
      </w:r>
      <w:r w:rsidRPr="00C9584E">
        <w:rPr>
          <w:lang w:val="en-US"/>
        </w:rPr>
        <w:br/>
      </w:r>
      <w:r w:rsidRPr="6ACFD1DC">
        <w:rPr>
          <w:i/>
          <w:iCs/>
          <w:lang w:val="en-US"/>
        </w:rPr>
        <w:t>Submission date-</w:t>
      </w:r>
      <w:r w:rsidR="00C9584E" w:rsidRPr="008D3DE7">
        <w:rPr>
          <w:i/>
          <w:iCs/>
          <w:color w:val="000000" w:themeColor="text1"/>
          <w:lang w:val="en-US"/>
        </w:rPr>
        <w:t>1</w:t>
      </w:r>
      <w:r w:rsidR="008D3DE7" w:rsidRPr="008D3DE7">
        <w:rPr>
          <w:i/>
          <w:iCs/>
          <w:color w:val="000000" w:themeColor="text1"/>
          <w:lang w:val="en-US"/>
        </w:rPr>
        <w:t>9</w:t>
      </w:r>
      <w:r w:rsidR="00C9584E" w:rsidRPr="008D3DE7">
        <w:rPr>
          <w:i/>
          <w:iCs/>
          <w:color w:val="000000" w:themeColor="text1"/>
          <w:lang w:val="en-US"/>
        </w:rPr>
        <w:t>/11/2024</w:t>
      </w:r>
    </w:p>
    <w:p w14:paraId="1C020CBA" w14:textId="0EC26A29" w:rsidR="001E43AF" w:rsidRDefault="00950D38" w:rsidP="001E43AF">
      <w:pPr>
        <w:jc w:val="center"/>
        <w:rPr>
          <w:b/>
          <w:sz w:val="28"/>
          <w:szCs w:val="28"/>
          <w:lang w:val="en-US"/>
        </w:rPr>
      </w:pPr>
      <w:r w:rsidRPr="00950D38">
        <w:rPr>
          <w:b/>
          <w:sz w:val="28"/>
          <w:szCs w:val="28"/>
          <w:lang w:val="en-US"/>
        </w:rPr>
        <w:t xml:space="preserve">5 </w:t>
      </w:r>
      <w:r w:rsidR="00C9584E">
        <w:rPr>
          <w:b/>
          <w:sz w:val="28"/>
          <w:szCs w:val="28"/>
          <w:lang w:val="en-US"/>
        </w:rPr>
        <w:t xml:space="preserve">Facts </w:t>
      </w:r>
      <w:r w:rsidR="00C9584E">
        <w:rPr>
          <w:b/>
          <w:sz w:val="28"/>
          <w:szCs w:val="28"/>
          <w:lang w:val="en-US"/>
        </w:rPr>
        <w:br/>
        <w:t>(</w:t>
      </w:r>
      <w:r w:rsidR="00C9584E" w:rsidRPr="00C9584E">
        <w:rPr>
          <w:rStyle w:val="normaltextrun"/>
          <w:rFonts w:eastAsiaTheme="majorEastAsia"/>
          <w:b/>
          <w:bCs/>
          <w:color w:val="000000" w:themeColor="text1"/>
          <w:sz w:val="28"/>
          <w:szCs w:val="28"/>
          <w:bdr w:val="none" w:sz="0" w:space="0" w:color="auto" w:frame="1"/>
          <w:lang w:val="en-US"/>
        </w:rPr>
        <w:t>Baudrillard’ theories</w:t>
      </w:r>
      <w:r>
        <w:rPr>
          <w:b/>
          <w:sz w:val="28"/>
          <w:szCs w:val="28"/>
          <w:lang w:val="en-US"/>
        </w:rPr>
        <w:t>)</w:t>
      </w:r>
    </w:p>
    <w:p w14:paraId="536F660F" w14:textId="73AB2C02" w:rsidR="00C9584E" w:rsidRDefault="00C9584E" w:rsidP="001E43AF">
      <w:pPr>
        <w:jc w:val="center"/>
        <w:rPr>
          <w:b/>
          <w:sz w:val="28"/>
          <w:szCs w:val="28"/>
          <w:lang w:val="en-US"/>
        </w:rPr>
      </w:pPr>
    </w:p>
    <w:p w14:paraId="6268FCB5" w14:textId="6DD5C7FD" w:rsidR="00171AE2" w:rsidRPr="00171AE2" w:rsidRDefault="00171AE2" w:rsidP="00171AE2">
      <w:pPr>
        <w:jc w:val="both"/>
        <w:rPr>
          <w:sz w:val="28"/>
          <w:szCs w:val="28"/>
          <w:lang w:val="en-US"/>
        </w:rPr>
      </w:pPr>
      <w:r w:rsidRPr="00171AE2">
        <w:rPr>
          <w:sz w:val="28"/>
          <w:szCs w:val="28"/>
          <w:lang w:val="en-US"/>
        </w:rPr>
        <w:t xml:space="preserve">1. </w:t>
      </w:r>
      <w:r w:rsidRPr="00A02D5E">
        <w:rPr>
          <w:b/>
          <w:bCs/>
          <w:sz w:val="28"/>
          <w:szCs w:val="28"/>
          <w:lang w:val="en-US"/>
        </w:rPr>
        <w:t>Hyperreality.</w:t>
      </w:r>
      <w:r w:rsidRPr="00171AE2">
        <w:rPr>
          <w:sz w:val="28"/>
          <w:szCs w:val="28"/>
          <w:lang w:val="en-US"/>
        </w:rPr>
        <w:t xml:space="preserve"> </w:t>
      </w:r>
    </w:p>
    <w:p w14:paraId="15596167" w14:textId="7C161627" w:rsidR="00A02D5E" w:rsidRDefault="00A02D5E" w:rsidP="00171AE2">
      <w:pPr>
        <w:jc w:val="both"/>
        <w:rPr>
          <w:sz w:val="28"/>
          <w:szCs w:val="28"/>
          <w:lang w:val="kk-KZ"/>
        </w:rPr>
      </w:pPr>
      <w:r w:rsidRPr="00A02D5E">
        <w:rPr>
          <w:sz w:val="28"/>
          <w:szCs w:val="28"/>
          <w:lang w:val="en-US"/>
        </w:rPr>
        <w:t xml:space="preserve">Baudrillard states that hyperreality is a condition in which reality and simulation become indistinguishable. </w:t>
      </w:r>
      <w:proofErr w:type="gramStart"/>
      <w:r w:rsidRPr="00A02D5E">
        <w:rPr>
          <w:sz w:val="28"/>
          <w:szCs w:val="28"/>
          <w:lang w:val="en-US"/>
        </w:rPr>
        <w:t>As a consequence</w:t>
      </w:r>
      <w:proofErr w:type="gramEnd"/>
      <w:r w:rsidRPr="00A02D5E">
        <w:rPr>
          <w:sz w:val="28"/>
          <w:szCs w:val="28"/>
          <w:lang w:val="en-US"/>
        </w:rPr>
        <w:t>, people begin to think hindsight and imagination exceeds actuality. For example, today’s tourist spots are redesigned or built to suit the expectations of people and therefore provide a ‘fake’ version of the real thing. Thus, the original location transforms and becomes homogeneous and simpler in its place.</w:t>
      </w:r>
    </w:p>
    <w:p w14:paraId="3540A58D" w14:textId="77777777" w:rsidR="00171AE2" w:rsidRPr="00A02D5E" w:rsidRDefault="00171AE2" w:rsidP="00171AE2">
      <w:pPr>
        <w:jc w:val="both"/>
        <w:rPr>
          <w:sz w:val="28"/>
          <w:szCs w:val="28"/>
          <w:lang w:val="en-US"/>
        </w:rPr>
      </w:pPr>
    </w:p>
    <w:p w14:paraId="4B564177" w14:textId="59509461" w:rsidR="00A02D5E" w:rsidRPr="00A02D5E" w:rsidRDefault="00171AE2" w:rsidP="00A02D5E">
      <w:pPr>
        <w:jc w:val="both"/>
        <w:rPr>
          <w:sz w:val="28"/>
          <w:szCs w:val="28"/>
          <w:lang w:val="kk-KZ"/>
        </w:rPr>
      </w:pPr>
      <w:r w:rsidRPr="00171AE2">
        <w:rPr>
          <w:sz w:val="28"/>
          <w:szCs w:val="28"/>
          <w:lang w:val="en-US"/>
        </w:rPr>
        <w:t xml:space="preserve">2. </w:t>
      </w:r>
      <w:r w:rsidR="00A02D5E" w:rsidRPr="00A02D5E">
        <w:rPr>
          <w:b/>
          <w:bCs/>
          <w:sz w:val="28"/>
          <w:szCs w:val="28"/>
          <w:lang w:val="en-US"/>
        </w:rPr>
        <w:t>Cultural Homogenization and Media Critique</w:t>
      </w:r>
    </w:p>
    <w:p w14:paraId="5177585F" w14:textId="471A5C37" w:rsidR="00171AE2" w:rsidRDefault="00A02D5E" w:rsidP="00A02D5E">
      <w:pPr>
        <w:jc w:val="both"/>
        <w:rPr>
          <w:sz w:val="28"/>
          <w:szCs w:val="28"/>
          <w:lang w:val="kk-KZ"/>
        </w:rPr>
      </w:pPr>
      <w:r w:rsidRPr="00A02D5E">
        <w:rPr>
          <w:sz w:val="28"/>
          <w:szCs w:val="28"/>
          <w:lang w:val="en-US"/>
        </w:rPr>
        <w:t>In a media-driven society, Baudrillard believed that culture and individuality become standardized, stripping people of the ability to cultivate true self-determination. His critiques often aligned with Nietzschean ideas of creating one's own values in a world dominated by consumerism and media simulations.</w:t>
      </w:r>
    </w:p>
    <w:p w14:paraId="01827899" w14:textId="77777777" w:rsidR="00A02D5E" w:rsidRPr="00A02D5E" w:rsidRDefault="00A02D5E" w:rsidP="00A02D5E">
      <w:pPr>
        <w:jc w:val="both"/>
        <w:rPr>
          <w:sz w:val="28"/>
          <w:szCs w:val="28"/>
          <w:lang w:val="kk-KZ"/>
        </w:rPr>
      </w:pPr>
    </w:p>
    <w:p w14:paraId="6A8603A2" w14:textId="77777777" w:rsidR="00171AE2" w:rsidRPr="00171AE2" w:rsidRDefault="00171AE2" w:rsidP="00171AE2">
      <w:pPr>
        <w:jc w:val="both"/>
        <w:rPr>
          <w:sz w:val="28"/>
          <w:szCs w:val="28"/>
          <w:lang w:val="en-US"/>
        </w:rPr>
      </w:pPr>
      <w:r w:rsidRPr="00171AE2">
        <w:rPr>
          <w:sz w:val="28"/>
          <w:szCs w:val="28"/>
          <w:lang w:val="en-US"/>
        </w:rPr>
        <w:t xml:space="preserve">3. </w:t>
      </w:r>
      <w:r w:rsidRPr="00A02D5E">
        <w:rPr>
          <w:b/>
          <w:bCs/>
          <w:sz w:val="28"/>
          <w:szCs w:val="28"/>
          <w:lang w:val="en-US"/>
        </w:rPr>
        <w:t>Media as a reality factory</w:t>
      </w:r>
      <w:r w:rsidRPr="00171AE2">
        <w:rPr>
          <w:sz w:val="28"/>
          <w:szCs w:val="28"/>
          <w:lang w:val="en-US"/>
        </w:rPr>
        <w:t xml:space="preserve">  </w:t>
      </w:r>
    </w:p>
    <w:p w14:paraId="4F7F1D2C" w14:textId="610CFC1E" w:rsidR="00171AE2" w:rsidRDefault="00A02D5E" w:rsidP="00171AE2">
      <w:pPr>
        <w:jc w:val="both"/>
        <w:rPr>
          <w:sz w:val="28"/>
          <w:szCs w:val="28"/>
          <w:lang w:val="en-US"/>
        </w:rPr>
      </w:pPr>
      <w:r w:rsidRPr="00A02D5E">
        <w:rPr>
          <w:sz w:val="28"/>
          <w:szCs w:val="28"/>
          <w:lang w:val="en-US"/>
        </w:rPr>
        <w:t xml:space="preserve">The media, according to Baudrillard and many, enables ‘hyperreality’ to be created. This goes further than the simple transfer of information as it shapes the world. Events reported on and that are fictitious tend to be the only reality for most people. A good illustration is when News causes a small political scandal, only for its magnitude to be blown out of proportions. </w:t>
      </w:r>
      <w:proofErr w:type="gramStart"/>
      <w:r w:rsidRPr="00A02D5E">
        <w:rPr>
          <w:sz w:val="28"/>
          <w:szCs w:val="28"/>
          <w:lang w:val="en-US"/>
        </w:rPr>
        <w:t>Thus</w:t>
      </w:r>
      <w:proofErr w:type="gramEnd"/>
      <w:r w:rsidRPr="00A02D5E">
        <w:rPr>
          <w:sz w:val="28"/>
          <w:szCs w:val="28"/>
          <w:lang w:val="en-US"/>
        </w:rPr>
        <w:t xml:space="preserve"> the media does not offer a ‘mirror’ to reality, instead it makes one.</w:t>
      </w:r>
    </w:p>
    <w:p w14:paraId="7DC02C5C" w14:textId="77777777" w:rsidR="00A02D5E" w:rsidRPr="00171AE2" w:rsidRDefault="00A02D5E" w:rsidP="00171AE2">
      <w:pPr>
        <w:jc w:val="both"/>
        <w:rPr>
          <w:sz w:val="28"/>
          <w:szCs w:val="28"/>
          <w:lang w:val="en-US"/>
        </w:rPr>
      </w:pPr>
    </w:p>
    <w:p w14:paraId="5A8F065C" w14:textId="2028ED81" w:rsidR="00171AE2" w:rsidRPr="00171AE2" w:rsidRDefault="00171AE2" w:rsidP="00171AE2">
      <w:pPr>
        <w:jc w:val="both"/>
        <w:rPr>
          <w:sz w:val="28"/>
          <w:szCs w:val="28"/>
          <w:lang w:val="en-US"/>
        </w:rPr>
      </w:pPr>
      <w:r w:rsidRPr="00171AE2">
        <w:rPr>
          <w:sz w:val="28"/>
          <w:szCs w:val="28"/>
          <w:lang w:val="en-US"/>
        </w:rPr>
        <w:t xml:space="preserve">4. </w:t>
      </w:r>
      <w:r w:rsidR="008D3DE7" w:rsidRPr="008D3DE7">
        <w:rPr>
          <w:b/>
          <w:bCs/>
          <w:sz w:val="28"/>
          <w:szCs w:val="28"/>
          <w:lang w:val="en-US"/>
        </w:rPr>
        <w:t>Simulacra and Simulation</w:t>
      </w:r>
    </w:p>
    <w:p w14:paraId="180DF6B5" w14:textId="08A8FE57" w:rsidR="00171AE2" w:rsidRDefault="008D3DE7" w:rsidP="00171AE2">
      <w:pPr>
        <w:jc w:val="both"/>
        <w:rPr>
          <w:sz w:val="28"/>
          <w:szCs w:val="28"/>
          <w:lang w:val="en-US"/>
        </w:rPr>
      </w:pPr>
      <w:r w:rsidRPr="008D3DE7">
        <w:rPr>
          <w:sz w:val="28"/>
          <w:szCs w:val="28"/>
          <w:lang w:val="en-US"/>
        </w:rPr>
        <w:t>Baudrillard's theory is centered around the concept of simulacra-copies without originals. He contended that postmodern culture replaces reality with simulations in such a way that distinctions between "real" and "false" become meaningless.</w:t>
      </w:r>
    </w:p>
    <w:p w14:paraId="015B3488" w14:textId="77777777" w:rsidR="008D3DE7" w:rsidRPr="00171AE2" w:rsidRDefault="008D3DE7" w:rsidP="00171AE2">
      <w:pPr>
        <w:jc w:val="both"/>
        <w:rPr>
          <w:sz w:val="28"/>
          <w:szCs w:val="28"/>
          <w:lang w:val="en-US"/>
        </w:rPr>
      </w:pPr>
    </w:p>
    <w:p w14:paraId="0165E752" w14:textId="77777777" w:rsidR="008D3DE7" w:rsidRPr="008D3DE7" w:rsidRDefault="00171AE2" w:rsidP="008D3DE7">
      <w:pPr>
        <w:jc w:val="both"/>
        <w:rPr>
          <w:sz w:val="28"/>
          <w:szCs w:val="28"/>
          <w:lang w:val="en-US"/>
        </w:rPr>
      </w:pPr>
      <w:r w:rsidRPr="00171AE2">
        <w:rPr>
          <w:sz w:val="28"/>
          <w:szCs w:val="28"/>
          <w:lang w:val="en-US"/>
        </w:rPr>
        <w:t xml:space="preserve">5. </w:t>
      </w:r>
      <w:r w:rsidR="008D3DE7" w:rsidRPr="008D3DE7">
        <w:rPr>
          <w:b/>
          <w:bCs/>
          <w:sz w:val="28"/>
          <w:szCs w:val="28"/>
          <w:lang w:val="en-US"/>
        </w:rPr>
        <w:t>Consuming Signs</w:t>
      </w:r>
    </w:p>
    <w:p w14:paraId="08C42B69" w14:textId="553DD646" w:rsidR="00C9584E" w:rsidRPr="00171AE2" w:rsidRDefault="008D3DE7" w:rsidP="008D3DE7">
      <w:pPr>
        <w:jc w:val="both"/>
        <w:rPr>
          <w:sz w:val="28"/>
          <w:szCs w:val="28"/>
          <w:lang w:val="en-US"/>
        </w:rPr>
      </w:pPr>
      <w:r w:rsidRPr="008D3DE7">
        <w:rPr>
          <w:sz w:val="28"/>
          <w:szCs w:val="28"/>
          <w:lang w:val="en-US"/>
        </w:rPr>
        <w:t>What Baudrillard was arguing is that modern society is delineated not by consumption of the things themselves but by their symbolic meanings. Items are not obtained for practical use but for what they "represent" in a social context. Works of art or luxury goods, for example, are not valued for their intrinsic qualities as such but as symbols of status or cultural affiliation.</w:t>
      </w:r>
    </w:p>
    <w:p w14:paraId="69F63574" w14:textId="256D82FA" w:rsidR="001E43AF" w:rsidRDefault="001E43AF" w:rsidP="00171AE2">
      <w:pPr>
        <w:jc w:val="both"/>
        <w:rPr>
          <w:b/>
          <w:sz w:val="28"/>
          <w:szCs w:val="28"/>
          <w:lang w:val="en-US"/>
        </w:rPr>
      </w:pPr>
    </w:p>
    <w:p w14:paraId="6585688D" w14:textId="4A08D7F7" w:rsidR="001E43AF" w:rsidRDefault="001E43AF" w:rsidP="00171AE2">
      <w:pPr>
        <w:jc w:val="both"/>
        <w:rPr>
          <w:i/>
          <w:sz w:val="28"/>
          <w:szCs w:val="28"/>
          <w:lang w:val="en-US"/>
        </w:rPr>
      </w:pPr>
    </w:p>
    <w:p w14:paraId="50520A67" w14:textId="7665EBEE" w:rsidR="001E43AF" w:rsidRDefault="001E43AF" w:rsidP="00171AE2">
      <w:pPr>
        <w:jc w:val="both"/>
        <w:rPr>
          <w:i/>
          <w:sz w:val="28"/>
          <w:szCs w:val="28"/>
          <w:lang w:val="en-US"/>
        </w:rPr>
      </w:pPr>
    </w:p>
    <w:p w14:paraId="3F18F37C" w14:textId="3B41B6C9" w:rsidR="001E43AF" w:rsidRDefault="001E43AF" w:rsidP="00171AE2">
      <w:pPr>
        <w:jc w:val="both"/>
        <w:rPr>
          <w:i/>
          <w:sz w:val="28"/>
          <w:szCs w:val="28"/>
          <w:lang w:val="en-US"/>
        </w:rPr>
      </w:pPr>
    </w:p>
    <w:p w14:paraId="216001BB" w14:textId="7B2F2BB0" w:rsidR="001E43AF" w:rsidRDefault="001E43AF" w:rsidP="001E43AF">
      <w:pPr>
        <w:rPr>
          <w:i/>
          <w:sz w:val="28"/>
          <w:szCs w:val="28"/>
          <w:lang w:val="en-US"/>
        </w:rPr>
      </w:pPr>
    </w:p>
    <w:p w14:paraId="5F006766" w14:textId="0B7ADDC5" w:rsidR="001E43AF" w:rsidRDefault="001E43AF" w:rsidP="001E43AF">
      <w:pPr>
        <w:rPr>
          <w:i/>
          <w:sz w:val="28"/>
          <w:szCs w:val="28"/>
          <w:lang w:val="en-US"/>
        </w:rPr>
      </w:pPr>
    </w:p>
    <w:tbl>
      <w:tblPr>
        <w:tblStyle w:val="ac"/>
        <w:tblW w:w="1126" w:type="dxa"/>
        <w:tblInd w:w="7799" w:type="dxa"/>
        <w:tblLook w:val="04A0" w:firstRow="1" w:lastRow="0" w:firstColumn="1" w:lastColumn="0" w:noHBand="0" w:noVBand="1"/>
      </w:tblPr>
      <w:tblGrid>
        <w:gridCol w:w="1126"/>
      </w:tblGrid>
      <w:tr w:rsidR="001E43AF" w14:paraId="367A5DFE" w14:textId="77777777" w:rsidTr="00992146">
        <w:trPr>
          <w:trHeight w:val="613"/>
        </w:trPr>
        <w:tc>
          <w:tcPr>
            <w:tcW w:w="1126" w:type="dxa"/>
          </w:tcPr>
          <w:p w14:paraId="321A4FF6" w14:textId="43FA0C8A" w:rsidR="001E43AF" w:rsidRPr="001E43AF" w:rsidRDefault="005B3FB7" w:rsidP="001E43AF">
            <w:pPr>
              <w:jc w:val="center"/>
              <w:rPr>
                <w:b/>
                <w:sz w:val="28"/>
                <w:szCs w:val="28"/>
                <w:lang w:val="en-US"/>
              </w:rPr>
            </w:pPr>
            <w:r>
              <w:rPr>
                <w:b/>
                <w:sz w:val="28"/>
                <w:szCs w:val="28"/>
                <w:lang w:val="en-US"/>
              </w:rPr>
              <w:t xml:space="preserve">Mark </w:t>
            </w:r>
            <w:r>
              <w:rPr>
                <w:b/>
                <w:sz w:val="28"/>
                <w:szCs w:val="28"/>
                <w:lang w:val="en-US"/>
              </w:rPr>
              <w:br/>
            </w:r>
          </w:p>
        </w:tc>
      </w:tr>
    </w:tbl>
    <w:p w14:paraId="5E70549F" w14:textId="77777777" w:rsidR="001E43AF" w:rsidRPr="001E43AF" w:rsidRDefault="001E43AF" w:rsidP="001E43AF">
      <w:pPr>
        <w:rPr>
          <w:i/>
          <w:sz w:val="28"/>
          <w:szCs w:val="28"/>
          <w:lang w:val="en-US"/>
        </w:rPr>
      </w:pPr>
    </w:p>
    <w:sectPr w:rsidR="001E43AF" w:rsidRPr="001E43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F327F"/>
    <w:multiLevelType w:val="hybridMultilevel"/>
    <w:tmpl w:val="F4668A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1C44FD"/>
    <w:multiLevelType w:val="hybridMultilevel"/>
    <w:tmpl w:val="D76CDA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837589"/>
    <w:multiLevelType w:val="hybridMultilevel"/>
    <w:tmpl w:val="364204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36128A"/>
    <w:multiLevelType w:val="hybridMultilevel"/>
    <w:tmpl w:val="A1688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F368A7"/>
    <w:multiLevelType w:val="hybridMultilevel"/>
    <w:tmpl w:val="0680DD54"/>
    <w:lvl w:ilvl="0" w:tplc="621AE4F4">
      <w:start w:val="1"/>
      <w:numFmt w:val="decimal"/>
      <w:lvlText w:val="%1."/>
      <w:lvlJc w:val="left"/>
      <w:pPr>
        <w:ind w:left="1499" w:hanging="360"/>
      </w:pPr>
      <w:rPr>
        <w:rFonts w:hint="default"/>
      </w:rPr>
    </w:lvl>
    <w:lvl w:ilvl="1" w:tplc="04190019" w:tentative="1">
      <w:start w:val="1"/>
      <w:numFmt w:val="lowerLetter"/>
      <w:lvlText w:val="%2."/>
      <w:lvlJc w:val="left"/>
      <w:pPr>
        <w:ind w:left="2219" w:hanging="360"/>
      </w:pPr>
    </w:lvl>
    <w:lvl w:ilvl="2" w:tplc="0419001B" w:tentative="1">
      <w:start w:val="1"/>
      <w:numFmt w:val="lowerRoman"/>
      <w:lvlText w:val="%3."/>
      <w:lvlJc w:val="right"/>
      <w:pPr>
        <w:ind w:left="2939" w:hanging="180"/>
      </w:pPr>
    </w:lvl>
    <w:lvl w:ilvl="3" w:tplc="0419000F" w:tentative="1">
      <w:start w:val="1"/>
      <w:numFmt w:val="decimal"/>
      <w:lvlText w:val="%4."/>
      <w:lvlJc w:val="left"/>
      <w:pPr>
        <w:ind w:left="3659" w:hanging="360"/>
      </w:pPr>
    </w:lvl>
    <w:lvl w:ilvl="4" w:tplc="04190019" w:tentative="1">
      <w:start w:val="1"/>
      <w:numFmt w:val="lowerLetter"/>
      <w:lvlText w:val="%5."/>
      <w:lvlJc w:val="left"/>
      <w:pPr>
        <w:ind w:left="4379" w:hanging="360"/>
      </w:pPr>
    </w:lvl>
    <w:lvl w:ilvl="5" w:tplc="0419001B" w:tentative="1">
      <w:start w:val="1"/>
      <w:numFmt w:val="lowerRoman"/>
      <w:lvlText w:val="%6."/>
      <w:lvlJc w:val="right"/>
      <w:pPr>
        <w:ind w:left="5099" w:hanging="180"/>
      </w:pPr>
    </w:lvl>
    <w:lvl w:ilvl="6" w:tplc="0419000F" w:tentative="1">
      <w:start w:val="1"/>
      <w:numFmt w:val="decimal"/>
      <w:lvlText w:val="%7."/>
      <w:lvlJc w:val="left"/>
      <w:pPr>
        <w:ind w:left="5819" w:hanging="360"/>
      </w:pPr>
    </w:lvl>
    <w:lvl w:ilvl="7" w:tplc="04190019" w:tentative="1">
      <w:start w:val="1"/>
      <w:numFmt w:val="lowerLetter"/>
      <w:lvlText w:val="%8."/>
      <w:lvlJc w:val="left"/>
      <w:pPr>
        <w:ind w:left="6539" w:hanging="360"/>
      </w:pPr>
    </w:lvl>
    <w:lvl w:ilvl="8" w:tplc="0419001B" w:tentative="1">
      <w:start w:val="1"/>
      <w:numFmt w:val="lowerRoman"/>
      <w:lvlText w:val="%9."/>
      <w:lvlJc w:val="right"/>
      <w:pPr>
        <w:ind w:left="7259" w:hanging="180"/>
      </w:pPr>
    </w:lvl>
  </w:abstractNum>
  <w:abstractNum w:abstractNumId="5" w15:restartNumberingAfterBreak="0">
    <w:nsid w:val="59677B08"/>
    <w:multiLevelType w:val="hybridMultilevel"/>
    <w:tmpl w:val="DB468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07875739">
    <w:abstractNumId w:val="0"/>
  </w:num>
  <w:num w:numId="2" w16cid:durableId="1830173799">
    <w:abstractNumId w:val="4"/>
  </w:num>
  <w:num w:numId="3" w16cid:durableId="1992173929">
    <w:abstractNumId w:val="2"/>
  </w:num>
  <w:num w:numId="4" w16cid:durableId="405417381">
    <w:abstractNumId w:val="1"/>
  </w:num>
  <w:num w:numId="5" w16cid:durableId="2066947966">
    <w:abstractNumId w:val="5"/>
  </w:num>
  <w:num w:numId="6" w16cid:durableId="1172138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879"/>
    <w:rsid w:val="0012145E"/>
    <w:rsid w:val="00171AE2"/>
    <w:rsid w:val="001E43AF"/>
    <w:rsid w:val="00221519"/>
    <w:rsid w:val="002E54D4"/>
    <w:rsid w:val="003961EF"/>
    <w:rsid w:val="004441F1"/>
    <w:rsid w:val="00452B22"/>
    <w:rsid w:val="00541C79"/>
    <w:rsid w:val="005B3FB7"/>
    <w:rsid w:val="005B7788"/>
    <w:rsid w:val="006A0059"/>
    <w:rsid w:val="00717007"/>
    <w:rsid w:val="00722879"/>
    <w:rsid w:val="00785B6E"/>
    <w:rsid w:val="008D3DE7"/>
    <w:rsid w:val="00950D38"/>
    <w:rsid w:val="00992146"/>
    <w:rsid w:val="00A02D5E"/>
    <w:rsid w:val="00C9584E"/>
    <w:rsid w:val="00CF6271"/>
    <w:rsid w:val="00F26823"/>
    <w:rsid w:val="00F41424"/>
    <w:rsid w:val="1302BD5A"/>
    <w:rsid w:val="15C4D530"/>
    <w:rsid w:val="1C9F8EF5"/>
    <w:rsid w:val="1CB80A9E"/>
    <w:rsid w:val="1FD560AE"/>
    <w:rsid w:val="28456AC0"/>
    <w:rsid w:val="385D71A4"/>
    <w:rsid w:val="398F43DB"/>
    <w:rsid w:val="3AA770D1"/>
    <w:rsid w:val="49776507"/>
    <w:rsid w:val="5291FA37"/>
    <w:rsid w:val="551600DF"/>
    <w:rsid w:val="55DAB9FA"/>
    <w:rsid w:val="5A115311"/>
    <w:rsid w:val="5BCFB668"/>
    <w:rsid w:val="6ACFD1DC"/>
    <w:rsid w:val="7206C4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7B5D"/>
  <w15:chartTrackingRefBased/>
  <w15:docId w15:val="{AB70B26E-E117-4069-9F8E-028E2F6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879"/>
    <w:pPr>
      <w:spacing w:after="0" w:line="240" w:lineRule="auto"/>
    </w:pPr>
    <w:rPr>
      <w:rFonts w:ascii="Times New Roman" w:eastAsia="Times New Roman" w:hAnsi="Times New Roman" w:cs="Times New Roman"/>
      <w:kern w:val="0"/>
      <w:sz w:val="20"/>
      <w:szCs w:val="20"/>
      <w:lang w:eastAsia="ru-RU"/>
      <w14:ligatures w14:val="none"/>
    </w:rPr>
  </w:style>
  <w:style w:type="paragraph" w:styleId="1">
    <w:name w:val="heading 1"/>
    <w:basedOn w:val="a"/>
    <w:next w:val="a"/>
    <w:link w:val="10"/>
    <w:uiPriority w:val="9"/>
    <w:qFormat/>
    <w:rsid w:val="00722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2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2287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287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287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287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287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287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287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287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2287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2287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2287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2287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2287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22879"/>
    <w:rPr>
      <w:rFonts w:eastAsiaTheme="majorEastAsia" w:cstheme="majorBidi"/>
      <w:color w:val="595959" w:themeColor="text1" w:themeTint="A6"/>
    </w:rPr>
  </w:style>
  <w:style w:type="character" w:customStyle="1" w:styleId="80">
    <w:name w:val="Заголовок 8 Знак"/>
    <w:basedOn w:val="a0"/>
    <w:link w:val="8"/>
    <w:uiPriority w:val="9"/>
    <w:semiHidden/>
    <w:rsid w:val="0072287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22879"/>
    <w:rPr>
      <w:rFonts w:eastAsiaTheme="majorEastAsia" w:cstheme="majorBidi"/>
      <w:color w:val="272727" w:themeColor="text1" w:themeTint="D8"/>
    </w:rPr>
  </w:style>
  <w:style w:type="paragraph" w:styleId="a3">
    <w:name w:val="Title"/>
    <w:basedOn w:val="a"/>
    <w:next w:val="a"/>
    <w:link w:val="a4"/>
    <w:uiPriority w:val="10"/>
    <w:qFormat/>
    <w:rsid w:val="00722879"/>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228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287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2287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22879"/>
    <w:pPr>
      <w:spacing w:before="160"/>
      <w:jc w:val="center"/>
    </w:pPr>
    <w:rPr>
      <w:i/>
      <w:iCs/>
      <w:color w:val="404040" w:themeColor="text1" w:themeTint="BF"/>
    </w:rPr>
  </w:style>
  <w:style w:type="character" w:customStyle="1" w:styleId="22">
    <w:name w:val="Цитата 2 Знак"/>
    <w:basedOn w:val="a0"/>
    <w:link w:val="21"/>
    <w:uiPriority w:val="29"/>
    <w:rsid w:val="00722879"/>
    <w:rPr>
      <w:i/>
      <w:iCs/>
      <w:color w:val="404040" w:themeColor="text1" w:themeTint="BF"/>
    </w:rPr>
  </w:style>
  <w:style w:type="paragraph" w:styleId="a7">
    <w:name w:val="List Paragraph"/>
    <w:basedOn w:val="a"/>
    <w:uiPriority w:val="34"/>
    <w:qFormat/>
    <w:rsid w:val="00722879"/>
    <w:pPr>
      <w:ind w:left="720"/>
      <w:contextualSpacing/>
    </w:pPr>
  </w:style>
  <w:style w:type="character" w:styleId="a8">
    <w:name w:val="Intense Emphasis"/>
    <w:basedOn w:val="a0"/>
    <w:uiPriority w:val="21"/>
    <w:qFormat/>
    <w:rsid w:val="00722879"/>
    <w:rPr>
      <w:i/>
      <w:iCs/>
      <w:color w:val="0F4761" w:themeColor="accent1" w:themeShade="BF"/>
    </w:rPr>
  </w:style>
  <w:style w:type="paragraph" w:styleId="a9">
    <w:name w:val="Intense Quote"/>
    <w:basedOn w:val="a"/>
    <w:next w:val="a"/>
    <w:link w:val="aa"/>
    <w:uiPriority w:val="30"/>
    <w:qFormat/>
    <w:rsid w:val="00722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22879"/>
    <w:rPr>
      <w:i/>
      <w:iCs/>
      <w:color w:val="0F4761" w:themeColor="accent1" w:themeShade="BF"/>
    </w:rPr>
  </w:style>
  <w:style w:type="character" w:styleId="ab">
    <w:name w:val="Intense Reference"/>
    <w:basedOn w:val="a0"/>
    <w:uiPriority w:val="32"/>
    <w:qFormat/>
    <w:rsid w:val="00722879"/>
    <w:rPr>
      <w:b/>
      <w:bCs/>
      <w:smallCaps/>
      <w:color w:val="0F4761" w:themeColor="accent1" w:themeShade="BF"/>
      <w:spacing w:val="5"/>
    </w:rPr>
  </w:style>
  <w:style w:type="character" w:customStyle="1" w:styleId="normaltextrun">
    <w:name w:val="normaltextrun"/>
    <w:basedOn w:val="a0"/>
    <w:rsid w:val="00722879"/>
  </w:style>
  <w:style w:type="character" w:customStyle="1" w:styleId="eop">
    <w:name w:val="eop"/>
    <w:basedOn w:val="a0"/>
    <w:rsid w:val="00722879"/>
  </w:style>
  <w:style w:type="table" w:styleId="ac">
    <w:name w:val="Table Grid"/>
    <w:basedOn w:val="a1"/>
    <w:uiPriority w:val="39"/>
    <w:rsid w:val="001E4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091244919FCFB14CB9D757015CCA8120" ma:contentTypeVersion="12" ma:contentTypeDescription="Создание документа." ma:contentTypeScope="" ma:versionID="9e672e3e23216af9f5e6601dbb720e8c">
  <xsd:schema xmlns:xsd="http://www.w3.org/2001/XMLSchema" xmlns:xs="http://www.w3.org/2001/XMLSchema" xmlns:p="http://schemas.microsoft.com/office/2006/metadata/properties" xmlns:ns2="33075b84-1575-48f9-bb7f-d8d2cd41c644" xmlns:ns3="15011345-afe7-40c1-b072-2d2b89fb0f86" targetNamespace="http://schemas.microsoft.com/office/2006/metadata/properties" ma:root="true" ma:fieldsID="2bb23e546fd1ff3bcfe13ede5e454f3e" ns2:_="" ns3:_="">
    <xsd:import namespace="33075b84-1575-48f9-bb7f-d8d2cd41c644"/>
    <xsd:import namespace="15011345-afe7-40c1-b072-2d2b89fb0f8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75b84-1575-48f9-bb7f-d8d2cd41c6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Теги изображений" ma:readOnly="false" ma:fieldId="{5cf76f15-5ced-4ddc-b409-7134ff3c332f}" ma:taxonomyMulti="true" ma:sspId="465786e6-ab7e-4ef0-9ba9-dc260c9d8b9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011345-afe7-40c1-b072-2d2b89fb0f8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df82623-1225-4090-8303-7da4bfec8cda}" ma:internalName="TaxCatchAll" ma:showField="CatchAllData" ma:web="15011345-afe7-40c1-b072-2d2b89fb0f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011345-afe7-40c1-b072-2d2b89fb0f86" xsi:nil="true"/>
    <ReferenceId xmlns="33075b84-1575-48f9-bb7f-d8d2cd41c644" xsi:nil="true"/>
    <lcf76f155ced4ddcb4097134ff3c332f xmlns="33075b84-1575-48f9-bb7f-d8d2cd41c6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52C85D-DCED-4E29-9843-645E93396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75b84-1575-48f9-bb7f-d8d2cd41c644"/>
    <ds:schemaRef ds:uri="15011345-afe7-40c1-b072-2d2b89fb0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4E909D-EC0C-42F6-BA7B-46DE2936DA57}">
  <ds:schemaRefs>
    <ds:schemaRef ds:uri="http://schemas.microsoft.com/sharepoint/v3/contenttype/forms"/>
  </ds:schemaRefs>
</ds:datastoreItem>
</file>

<file path=customXml/itemProps3.xml><?xml version="1.0" encoding="utf-8"?>
<ds:datastoreItem xmlns:ds="http://schemas.openxmlformats.org/officeDocument/2006/customXml" ds:itemID="{831EB09B-6032-4641-BEB4-A65D47064467}">
  <ds:schemaRefs>
    <ds:schemaRef ds:uri="http://schemas.microsoft.com/office/2006/metadata/properties"/>
    <ds:schemaRef ds:uri="http://schemas.microsoft.com/office/infopath/2007/PartnerControls"/>
    <ds:schemaRef ds:uri="15011345-afe7-40c1-b072-2d2b89fb0f86"/>
    <ds:schemaRef ds:uri="33075b84-1575-48f9-bb7f-d8d2cd41c644"/>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312</Words>
  <Characters>1785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Kalmurza</dc:creator>
  <cp:keywords/>
  <dc:description/>
  <cp:lastModifiedBy>Dinmukhamed Amalbek</cp:lastModifiedBy>
  <cp:revision>3</cp:revision>
  <dcterms:created xsi:type="dcterms:W3CDTF">2024-11-17T05:17:00Z</dcterms:created>
  <dcterms:modified xsi:type="dcterms:W3CDTF">2024-11-19T18:36:00Z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0x010100091244919FCFB14CB9D757015CCA8120</vt:lpwstr>
  </property>
</Properties>
</file>