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X-Resilience-WDS: Design vs Implementation Review and Publication Roadmap</w:t>
      </w:r>
    </w:p>
    <w:p>
      <w:pPr>
        <w:spacing w:after="120" w:line="276"/>
      </w:pPr>
      <w:r>
        <w:rPr>
          <w:rFonts w:ascii="Calibri" w:cs="Calibri" w:eastAsia="Calibri" w:hAnsi="Calibri"/>
          <w:color w:val="595959"/>
          <w:sz w:val="20"/>
          <w:szCs w:val="20"/>
        </w:rPr>
        <w:t xml:space="preserve">CSD415 Project, Department of CSE, Government Engineering College Idukki · Review date: 14 October 2026</w:t>
      </w:r>
    </w:p>
    <w:p>
      <w:pPr>
        <w:pStyle w:val="Heading1"/>
        <w:spacing w:after="160" w:before="360"/>
      </w:pPr>
      <w:r>
        <w:rPr>
          <w:rFonts w:ascii="Calibri" w:cs="Calibri" w:eastAsia="Calibri" w:hAnsi="Calibri"/>
        </w:rPr>
        <w:t xml:space="preserve">1. Summary</w:t>
      </w:r>
    </w:p>
    <w:p>
      <w:pPr>
        <w:spacing w:after="120" w:line="276"/>
      </w:pPr>
      <w:r>
        <w:rPr>
          <w:rFonts w:ascii="Calibri" w:cs="Calibri" w:eastAsia="Calibri" w:hAnsi="Calibri"/>
          <w:sz w:val="20"/>
          <w:szCs w:val="20"/>
        </w:rPr>
        <w:t xml:space="preserve">The detection stage is built and runs; the four post-detection modules that make this project novel (localization, root cause, impact score, recovery) exist only as dashboard placeholders. To become publishable, the work should keep the designed architecture unchanged and add what is missing: ground-truth evaluation of every stage.</w:t>
      </w:r>
    </w:p>
    <w:p>
      <w:pPr>
        <w:spacing w:after="120"/>
      </w:pPr>
      <w:r>
        <w:rPr>
          <w:rFonts w:ascii="Calibri" w:cs="Calibri" w:eastAsia="Calibri" w:hAnsi="Calibri"/>
          <w:sz w:val="20"/>
          <w:szCs w:val="20"/>
        </w:rPr>
        <w:t xml:space="preserve">Reviewed: the CSD415 Project Design Document (Chapters 1–2), the original X-Resilience-WDS proposal, and the code repository </w:t>
      </w:r>
      <w:hyperlink w:history="1" r:id="rIdo8ekialnt1vl6fkj_uztk">
        <w:r>
          <w:rPr>
            <w:rStyle w:val="Hyperlink"/>
            <w:rFonts w:ascii="Calibri" w:cs="Calibri" w:eastAsia="Calibri" w:hAnsi="Calibri"/>
            <w:sz w:val="20"/>
            <w:szCs w:val="20"/>
          </w:rPr>
          <w:t xml:space="preserve">dheeraj-2607/08-X-Resillience-WDS</w:t>
        </w:r>
      </w:hyperlink>
      <w:r>
        <w:rPr>
          <w:rFonts w:ascii="Calibri" w:cs="Calibri" w:eastAsia="Calibri" w:hAnsi="Calibri"/>
          <w:sz w:val="20"/>
          <w:szCs w:val="20"/>
        </w:rPr>
        <w:t xml:space="preserve"> at commit 23f3ec4 (13 Oct 2026). The second repository, </w:t>
      </w:r>
      <w:hyperlink w:history="1" r:id="rIdcg67bmmllrvokiazecd2f">
        <w:r>
          <w:rPr>
            <w:rStyle w:val="Hyperlink"/>
            <w:rFonts w:ascii="Calibri" w:cs="Calibri" w:eastAsia="Calibri" w:hAnsi="Calibri"/>
            <w:sz w:val="20"/>
            <w:szCs w:val="20"/>
          </w:rPr>
          <w:t xml:space="preserve">dheeraj-2607/08</w:t>
        </w:r>
      </w:hyperlink>
      <w:r>
        <w:rPr>
          <w:rFonts w:ascii="Calibri" w:cs="Calibri" w:eastAsia="Calibri" w:hAnsi="Calibri"/>
          <w:sz w:val="20"/>
          <w:szCs w:val="20"/>
        </w:rPr>
        <w:t xml:space="preserve">, is an older copy of the README and results only, with no code; it should be archived.</w:t>
      </w:r>
    </w:p>
    <w:p>
      <w:pPr>
        <w:spacing w:after="120" w:line="276"/>
      </w:pPr>
      <w:r>
        <w:rPr>
          <w:rFonts w:ascii="Calibri" w:cs="Calibri" w:eastAsia="Calibri" w:hAnsi="Calibri"/>
          <w:sz w:val="20"/>
          <w:szCs w:val="20"/>
        </w:rPr>
        <w:t xml:space="preserve">The datasets, </w:t>
      </w:r>
      <w:r>
        <w:rPr>
          <w:rFonts w:ascii="Consolas" w:cs="Consolas" w:eastAsia="Consolas" w:hAnsi="Consolas"/>
          <w:sz w:val="18"/>
          <w:szCs w:val="18"/>
        </w:rPr>
        <w:t xml:space="preserve">CTOWN.INP</w:t>
      </w:r>
      <w:r>
        <w:rPr>
          <w:rFonts w:ascii="Calibri" w:cs="Calibri" w:eastAsia="Calibri" w:hAnsi="Calibri"/>
          <w:sz w:val="20"/>
          <w:szCs w:val="20"/>
        </w:rPr>
        <w:t xml:space="preserve"> and model checkpoints are not in the repository, so nothing could be re-run. This review is based on reading the code and the saved result files.</w:t>
      </w:r>
    </w:p>
    <w:p>
      <w:pPr>
        <w:spacing w:after="120" w:line="276"/>
      </w:pPr>
      <w:r>
        <w:rPr>
          <w:rFonts w:ascii="Calibri" w:cs="Calibri" w:eastAsia="Calibri" w:hAnsi="Calibri"/>
          <w:i/>
          <w:iCs/>
          <w:sz w:val="20"/>
          <w:szCs w:val="20"/>
        </w:rPr>
        <w:t xml:space="preserve">Proposed paper claim: after a detection alert, X-Resilience-WDS identifies the attacked component, quantifies hydraulic impact, and ranks recovery actions, with each stage measured against known BATADAL attack targets and EPANET simulation.</w:t>
      </w:r>
    </w:p>
    <w:p>
      <w:pPr>
        <w:pStyle w:val="Heading1"/>
        <w:spacing w:after="160" w:before="360"/>
      </w:pPr>
      <w:r>
        <w:rPr>
          <w:rFonts w:ascii="Calibri" w:cs="Calibri" w:eastAsia="Calibri" w:hAnsi="Calibri"/>
        </w:rPr>
        <w:t xml:space="preserve">2. What is in the design</w:t>
      </w:r>
    </w:p>
    <w:p>
      <w:pPr>
        <w:spacing w:after="120" w:line="276"/>
      </w:pPr>
      <w:r>
        <w:rPr>
          <w:rFonts w:ascii="Calibri" w:cs="Calibri" w:eastAsia="Calibri" w:hAnsi="Calibri"/>
          <w:sz w:val="20"/>
          <w:szCs w:val="20"/>
        </w:rPr>
        <w:t xml:space="preserve">The design document specifies a six-stage pipeline mapped to five objectives (O1–O5). Every stage below stays in the publication plan; none is removed.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967"/>
        <w:gridCol w:w="1210"/>
        <w:gridCol w:w="4842"/>
        <w:gridCol w:w="3329"/>
        <w:gridCol w:w="3330"/>
      </w:tblGrid>
      <w:tr>
        <w:trPr>
          <w:tblHeader/>
        </w:trPr>
        <w:tc>
          <w:tcPr>
            <w:tcW w:type="dxa" w:w="196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Stage</w:t>
            </w:r>
          </w:p>
        </w:tc>
        <w:tc>
          <w:tcPr>
            <w:tcW w:type="dxa" w:w="121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Objective</w:t>
            </w:r>
          </w:p>
        </w:tc>
        <w:tc>
          <w:tcPr>
            <w:tcW w:type="dxa" w:w="48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Designed method</w:t>
            </w:r>
          </w:p>
        </w:tc>
        <w:tc>
          <w:tcPr>
            <w:tcW w:type="dxa" w:w="332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Designed output</w:t>
            </w:r>
          </w:p>
        </w:tc>
        <w:tc>
          <w:tcPr>
            <w:tcW w:type="dxa" w:w="333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Designed evaluation</w:t>
            </w:r>
          </w:p>
        </w:tc>
      </w:tr>
      <w:tr>
        <w:tc>
          <w:tcPr>
            <w:tcW w:type="dxa" w:w="19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1. Detection</w:t>
            </w:r>
          </w:p>
        </w:tc>
        <w:tc>
          <w:tcPr>
            <w:tcW w:type="dxa" w:w="12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O1</w:t>
            </w:r>
          </w:p>
        </w:tc>
        <w:tc>
          <w:tcPr>
            <w:tcW w:type="dxa" w:w="48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Random Forest / XGBoost on 43 BATADAL sensors, z-score scaling, SMOTE</w:t>
            </w:r>
          </w:p>
        </w:tc>
        <w:tc>
          <w:tcPr>
            <w:tcW w:type="dxa" w:w="33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Attack flag and probability</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F1 ≥ 0.95, ROC-AUC ≥ 0.98</w:t>
            </w:r>
          </w:p>
        </w:tc>
      </w:tr>
      <w:tr>
        <w:tc>
          <w:tcPr>
            <w:tcW w:type="dxa" w:w="19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2. Explanation</w:t>
            </w:r>
          </w:p>
        </w:tc>
        <w:tc>
          <w:tcPr>
            <w:tcW w:type="dxa" w:w="12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O2</w:t>
            </w:r>
          </w:p>
        </w:tc>
        <w:tc>
          <w:tcPr>
            <w:tcW w:type="dxa" w:w="48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SHAP TreeExplainer and LIME</w:t>
            </w:r>
          </w:p>
        </w:tc>
        <w:tc>
          <w:tcPr>
            <w:tcW w:type="dxa" w:w="33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Top-K influential sensors</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Top-K attribution precision</w:t>
            </w:r>
          </w:p>
        </w:tc>
      </w:tr>
      <w:tr>
        <w:tc>
          <w:tcPr>
            <w:tcW w:type="dxa" w:w="19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3. Root cause</w:t>
            </w:r>
          </w:p>
        </w:tc>
        <w:tc>
          <w:tcPr>
            <w:tcW w:type="dxa" w:w="12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O2</w:t>
            </w:r>
          </w:p>
        </w:tc>
        <w:tc>
          <w:tcPr>
            <w:tcW w:type="dxa" w:w="48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NetworkX directed graph from </w:t>
            </w:r>
            <w:r>
              <w:rPr>
                <w:rFonts w:ascii="Consolas" w:cs="Consolas" w:eastAsia="Consolas" w:hAnsi="Consolas"/>
                <w:b w:val="false"/>
                <w:bCs w:val="false"/>
                <w:sz w:val="16"/>
                <w:szCs w:val="16"/>
              </w:rPr>
              <w:t xml:space="preserve">CTOWN.INP</w:t>
            </w:r>
            <w:r>
              <w:rPr>
                <w:rFonts w:ascii="Calibri" w:cs="Calibri" w:eastAsia="Calibri" w:hAnsi="Calibri"/>
                <w:b w:val="false"/>
                <w:bCs w:val="false"/>
                <w:sz w:val="18"/>
                <w:szCs w:val="18"/>
              </w:rPr>
              <w:t xml:space="preserve">, upstream traversal from top-K sensors</w:t>
            </w:r>
          </w:p>
        </w:tc>
        <w:tc>
          <w:tcPr>
            <w:tcW w:type="dxa" w:w="33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Probable attacked component and propagation path</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Localization accuracy, root-cause precision</w:t>
            </w:r>
          </w:p>
        </w:tc>
      </w:tr>
      <w:tr>
        <w:tc>
          <w:tcPr>
            <w:tcW w:type="dxa" w:w="19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4. Impact (CPIS)</w:t>
            </w:r>
          </w:p>
        </w:tc>
        <w:tc>
          <w:tcPr>
            <w:tcW w:type="dxa" w:w="12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O3</w:t>
            </w:r>
          </w:p>
        </w:tc>
        <w:tc>
          <w:tcPr>
            <w:tcW w:type="dxa" w:w="48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EPANET/WNTR simulation; CPIS = w1·pressure + w2·flow + w3·criticality</w:t>
            </w:r>
          </w:p>
        </w:tc>
        <w:tc>
          <w:tcPr>
            <w:tcW w:type="dxa" w:w="33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Impact score and severity class (Low to Critical)</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Simulation under the 14 BATADAL attacks</w:t>
            </w:r>
          </w:p>
        </w:tc>
      </w:tr>
      <w:tr>
        <w:tc>
          <w:tcPr>
            <w:tcW w:type="dxa" w:w="19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5. Recovery</w:t>
            </w:r>
          </w:p>
        </w:tc>
        <w:tc>
          <w:tcPr>
            <w:tcW w:type="dxa" w:w="12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O4</w:t>
            </w:r>
          </w:p>
        </w:tc>
        <w:tc>
          <w:tcPr>
            <w:tcW w:type="dxa" w:w="48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Simulate candidate actions (valve isolation, pump switching, rerouting) in EPANET and rank them</w:t>
            </w:r>
          </w:p>
        </w:tc>
        <w:tc>
          <w:tcPr>
            <w:tcW w:type="dxa" w:w="33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Ranked recovery actions</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Restoration time, hydraulic stability</w:t>
            </w:r>
          </w:p>
        </w:tc>
      </w:tr>
      <w:tr>
        <w:tc>
          <w:tcPr>
            <w:tcW w:type="dxa" w:w="19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6. Dashboard</w:t>
            </w:r>
          </w:p>
        </w:tc>
        <w:tc>
          <w:tcPr>
            <w:tcW w:type="dxa" w:w="12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O5</w:t>
            </w:r>
          </w:p>
        </w:tc>
        <w:tc>
          <w:tcPr>
            <w:tcW w:type="dxa" w:w="48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Streamlit + Plotly, six panels</w:t>
            </w:r>
          </w:p>
        </w:tc>
        <w:tc>
          <w:tcPr>
            <w:tcW w:type="dxa" w:w="33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Operator decision support</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Usability and latency</w:t>
            </w:r>
          </w:p>
        </w:tc>
      </w:tr>
    </w:tbl>
    <w:p>
      <w:pPr>
        <w:spacing w:after="120"/>
      </w:pPr>
    </w:p>
    <w:p>
      <w:pPr>
        <w:spacing w:after="120" w:line="276"/>
      </w:pPr>
      <w:r>
        <w:rPr>
          <w:rFonts w:ascii="Calibri" w:cs="Calibri" w:eastAsia="Calibri" w:hAnsi="Calibri"/>
          <w:sz w:val="20"/>
          <w:szCs w:val="20"/>
        </w:rPr>
        <w:t xml:space="preserve">The proposal additionally names zone-level localization using LightEdge-IDS zone embeddings, and lists explainability metrics (fidelity, stability, consistency).</w:t>
      </w:r>
    </w:p>
    <w:p>
      <w:pPr>
        <w:pStyle w:val="Heading1"/>
        <w:spacing w:after="160" w:before="360"/>
      </w:pPr>
      <w:r>
        <w:rPr>
          <w:rFonts w:ascii="Calibri" w:cs="Calibri" w:eastAsia="Calibri" w:hAnsi="Calibri"/>
        </w:rPr>
        <w:t xml:space="preserve">3. What has been done</w:t>
      </w:r>
    </w:p>
    <w:p>
      <w:pPr>
        <w:spacing w:after="120" w:line="276"/>
      </w:pPr>
      <w:r>
        <w:rPr>
          <w:rFonts w:ascii="Calibri" w:cs="Calibri" w:eastAsia="Calibri" w:hAnsi="Calibri"/>
          <w:sz w:val="20"/>
          <w:szCs w:val="20"/>
        </w:rPr>
        <w:t xml:space="preserve">Only the network parsing and the detector are implemented in </w:t>
      </w:r>
      <w:r>
        <w:rPr>
          <w:rFonts w:ascii="Consolas" w:cs="Consolas" w:eastAsia="Consolas" w:hAnsi="Consolas"/>
          <w:sz w:val="18"/>
          <w:szCs w:val="18"/>
        </w:rPr>
        <w:t xml:space="preserve">src/</w:t>
      </w:r>
      <w:r>
        <w:rPr>
          <w:rFonts w:ascii="Calibri" w:cs="Calibri" w:eastAsia="Calibri" w:hAnsi="Calibri"/>
          <w:sz w:val="20"/>
          <w:szCs w:val="20"/>
        </w:rPr>
        <w:t xml:space="preserve">. The folders </w:t>
      </w:r>
      <w:r>
        <w:rPr>
          <w:rFonts w:ascii="Consolas" w:cs="Consolas" w:eastAsia="Consolas" w:hAnsi="Consolas"/>
          <w:sz w:val="18"/>
          <w:szCs w:val="18"/>
        </w:rPr>
        <w:t xml:space="preserve">src/explainability</w:t>
      </w:r>
      <w:r>
        <w:rPr>
          <w:rFonts w:ascii="Calibri" w:cs="Calibri" w:eastAsia="Calibri" w:hAnsi="Calibri"/>
          <w:sz w:val="20"/>
          <w:szCs w:val="20"/>
        </w:rPr>
        <w:t xml:space="preserve">, </w:t>
      </w:r>
      <w:r>
        <w:rPr>
          <w:rFonts w:ascii="Consolas" w:cs="Consolas" w:eastAsia="Consolas" w:hAnsi="Consolas"/>
          <w:sz w:val="18"/>
          <w:szCs w:val="18"/>
        </w:rPr>
        <w:t xml:space="preserve">localization</w:t>
      </w:r>
      <w:r>
        <w:rPr>
          <w:rFonts w:ascii="Calibri" w:cs="Calibri" w:eastAsia="Calibri" w:hAnsi="Calibri"/>
          <w:sz w:val="20"/>
          <w:szCs w:val="20"/>
        </w:rPr>
        <w:t xml:space="preserve">, </w:t>
      </w:r>
      <w:r>
        <w:rPr>
          <w:rFonts w:ascii="Consolas" w:cs="Consolas" w:eastAsia="Consolas" w:hAnsi="Consolas"/>
          <w:sz w:val="18"/>
          <w:szCs w:val="18"/>
        </w:rPr>
        <w:t xml:space="preserve">root_cause</w:t>
      </w:r>
      <w:r>
        <w:rPr>
          <w:rFonts w:ascii="Calibri" w:cs="Calibri" w:eastAsia="Calibri" w:hAnsi="Calibri"/>
          <w:sz w:val="20"/>
          <w:szCs w:val="20"/>
        </w:rPr>
        <w:t xml:space="preserve">, </w:t>
      </w:r>
      <w:r>
        <w:rPr>
          <w:rFonts w:ascii="Consolas" w:cs="Consolas" w:eastAsia="Consolas" w:hAnsi="Consolas"/>
          <w:sz w:val="18"/>
          <w:szCs w:val="18"/>
        </w:rPr>
        <w:t xml:space="preserve">impact</w:t>
      </w:r>
      <w:r>
        <w:rPr>
          <w:rFonts w:ascii="Calibri" w:cs="Calibri" w:eastAsia="Calibri" w:hAnsi="Calibri"/>
          <w:sz w:val="20"/>
          <w:szCs w:val="20"/>
        </w:rPr>
        <w:t xml:space="preserve"> and </w:t>
      </w:r>
      <w:r>
        <w:rPr>
          <w:rFonts w:ascii="Consolas" w:cs="Consolas" w:eastAsia="Consolas" w:hAnsi="Consolas"/>
          <w:sz w:val="18"/>
          <w:szCs w:val="18"/>
        </w:rPr>
        <w:t xml:space="preserve">recovery</w:t>
      </w:r>
      <w:r>
        <w:rPr>
          <w:rFonts w:ascii="Calibri" w:cs="Calibri" w:eastAsia="Calibri" w:hAnsi="Calibri"/>
          <w:sz w:val="20"/>
          <w:szCs w:val="20"/>
        </w:rPr>
        <w:t xml:space="preserve"> each contain only an empty </w:t>
      </w:r>
      <w:r>
        <w:rPr>
          <w:rFonts w:ascii="Consolas" w:cs="Consolas" w:eastAsia="Consolas" w:hAnsi="Consolas"/>
          <w:sz w:val="18"/>
          <w:szCs w:val="18"/>
        </w:rPr>
        <w:t xml:space="preserve">__init__.py</w:t>
      </w:r>
      <w:r>
        <w:rPr>
          <w:rFonts w:ascii="Calibri" w:cs="Calibri" w:eastAsia="Calibri" w:hAnsi="Calibri"/>
          <w:sz w:val="20"/>
          <w:szCs w:val="20"/>
        </w:rPr>
        <w:t xml:space="preserve">; what exists for those stages lives inside </w:t>
      </w:r>
      <w:r>
        <w:rPr>
          <w:rFonts w:ascii="Consolas" w:cs="Consolas" w:eastAsia="Consolas" w:hAnsi="Consolas"/>
          <w:sz w:val="18"/>
          <w:szCs w:val="18"/>
        </w:rPr>
        <w:t xml:space="preserve">dashboard/app.py</w:t>
      </w:r>
      <w:r>
        <w:rPr>
          <w:rFonts w:ascii="Calibri" w:cs="Calibri" w:eastAsia="Calibri" w:hAnsi="Calibri"/>
          <w:sz w:val="20"/>
          <w:szCs w:val="20"/>
        </w:rPr>
        <w:t xml:space="preserv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947"/>
        <w:gridCol w:w="1947"/>
        <w:gridCol w:w="6889"/>
        <w:gridCol w:w="3895"/>
      </w:tblGrid>
      <w:tr>
        <w:trPr>
          <w:tblHeader/>
        </w:trPr>
        <w:tc>
          <w:tcPr>
            <w:tcW w:type="dxa" w:w="194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Stage</w:t>
            </w:r>
          </w:p>
        </w:tc>
        <w:tc>
          <w:tcPr>
            <w:tcW w:type="dxa" w:w="194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Status</w:t>
            </w:r>
          </w:p>
        </w:tc>
        <w:tc>
          <w:tcPr>
            <w:tcW w:type="dxa" w:w="688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What the repository actually contains</w:t>
            </w:r>
          </w:p>
        </w:tc>
        <w:tc>
          <w:tcPr>
            <w:tcW w:type="dxa" w:w="389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Result available</w:t>
            </w:r>
          </w:p>
        </w:tc>
      </w:tr>
      <w:tr>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Network model</w:t>
            </w:r>
          </w:p>
        </w:tc>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Done</w:t>
            </w:r>
          </w:p>
        </w:tc>
        <w:tc>
          <w:tcPr>
            <w:tcW w:type="dxa" w:w="6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src/network/</w:t>
            </w:r>
            <w:r>
              <w:rPr>
                <w:rFonts w:ascii="Calibri" w:cs="Calibri" w:eastAsia="Calibri" w:hAnsi="Calibri"/>
                <w:b w:val="false"/>
                <w:bCs w:val="false"/>
                <w:sz w:val="18"/>
                <w:szCs w:val="18"/>
              </w:rPr>
              <w:t xml:space="preserve">: parses </w:t>
            </w:r>
            <w:r>
              <w:rPr>
                <w:rFonts w:ascii="Consolas" w:cs="Consolas" w:eastAsia="Consolas" w:hAnsi="Consolas"/>
                <w:b w:val="false"/>
                <w:bCs w:val="false"/>
                <w:sz w:val="16"/>
                <w:szCs w:val="16"/>
              </w:rPr>
              <w:t xml:space="preserve">CTOWN.INP</w:t>
            </w:r>
            <w:r>
              <w:rPr>
                <w:rFonts w:ascii="Calibri" w:cs="Calibri" w:eastAsia="Calibri" w:hAnsi="Calibri"/>
                <w:b w:val="false"/>
                <w:bCs w:val="false"/>
                <w:sz w:val="18"/>
                <w:szCs w:val="18"/>
              </w:rPr>
              <w:t xml:space="preserve"> with WNTR, builds an undirected NetworkX graph, assigns the 5 real DMA zones from junction demand patterns</w:t>
            </w:r>
          </w:p>
        </w:tc>
        <w:tc>
          <w:tcPr>
            <w:tcW w:type="dxa" w:w="38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Topology figures</w:t>
            </w:r>
          </w:p>
        </w:tc>
      </w:tr>
      <w:tr>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1. Detection</w:t>
            </w:r>
          </w:p>
        </w:tc>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Done, but a different method</w:t>
            </w:r>
          </w:p>
        </w:tc>
        <w:tc>
          <w:tcPr>
            <w:tcW w:type="dxa" w:w="6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A forecasting model trained on normal data only (dataset03): it predicts the next 12 hours, and a large prediction error raises an alert. Threshold = 99.8th percentile of errors on held-out normal data. No RF, XGBoost or SMOTE in the code</w:t>
            </w:r>
          </w:p>
        </w:tc>
        <w:tc>
          <w:tcPr>
            <w:tcW w:type="dxa" w:w="38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Dataset04: precision 0.564, recall 0.790, F1 0.658, ROC-AUC 0.969 (seed 42); 5-seed mean F1 0.632 ± 0.030</w:t>
            </w:r>
          </w:p>
        </w:tc>
      </w:tr>
      <w:tr>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2. Explanation</w:t>
            </w:r>
          </w:p>
        </w:tc>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Partial</w:t>
            </w:r>
          </w:p>
        </w:tc>
        <w:tc>
          <w:tcPr>
            <w:tcW w:type="dxa" w:w="6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Custom functions in the dashboard: one-sensor-at-a-time swap scores (labelled SHAP) and a ridge fit on 50 random samples (labelled LIME). The </w:t>
            </w:r>
            <w:r>
              <w:rPr>
                <w:rFonts w:ascii="Consolas" w:cs="Consolas" w:eastAsia="Consolas" w:hAnsi="Consolas"/>
                <w:b w:val="false"/>
                <w:bCs w:val="false"/>
                <w:sz w:val="16"/>
                <w:szCs w:val="16"/>
              </w:rPr>
              <w:t xml:space="preserve">shap</w:t>
            </w:r>
            <w:r>
              <w:rPr>
                <w:rFonts w:ascii="Calibri" w:cs="Calibri" w:eastAsia="Calibri" w:hAnsi="Calibri"/>
                <w:b w:val="false"/>
                <w:bCs w:val="false"/>
                <w:sz w:val="18"/>
                <w:szCs w:val="18"/>
              </w:rPr>
              <w:t xml:space="preserve"> and </w:t>
            </w:r>
            <w:r>
              <w:rPr>
                <w:rFonts w:ascii="Consolas" w:cs="Consolas" w:eastAsia="Consolas" w:hAnsi="Consolas"/>
                <w:b w:val="false"/>
                <w:bCs w:val="false"/>
                <w:sz w:val="16"/>
                <w:szCs w:val="16"/>
              </w:rPr>
              <w:t xml:space="preserve">lime</w:t>
            </w:r>
            <w:r>
              <w:rPr>
                <w:rFonts w:ascii="Calibri" w:cs="Calibri" w:eastAsia="Calibri" w:hAnsi="Calibri"/>
                <w:b w:val="false"/>
                <w:bCs w:val="false"/>
                <w:sz w:val="18"/>
                <w:szCs w:val="18"/>
              </w:rPr>
              <w:t xml:space="preserve"> libraries are not used</w:t>
            </w:r>
          </w:p>
        </w:tc>
        <w:tc>
          <w:tcPr>
            <w:tcW w:type="dxa" w:w="38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Top sensors per detected episode; no fidelity or stability numbers</w:t>
            </w:r>
          </w:p>
        </w:tc>
      </w:tr>
      <w:tr>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3. Root cause</w:t>
            </w:r>
          </w:p>
        </w:tc>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Placeholder</w:t>
            </w:r>
          </w:p>
        </w:tc>
        <w:tc>
          <w:tcPr>
            <w:tcW w:type="dxa" w:w="6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The dashboard takes the sensor the user disturbed in demo mode and lists its graph neighbours, DMA zone and an alternative path</w:t>
            </w:r>
          </w:p>
        </w:tc>
        <w:tc>
          <w:tcPr>
            <w:tcW w:type="dxa" w:w="38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None</w:t>
            </w:r>
          </w:p>
        </w:tc>
      </w:tr>
      <w:tr>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4. Impact (CPIS)</w:t>
            </w:r>
          </w:p>
        </w:tc>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Not started</w:t>
            </w:r>
          </w:p>
        </w:tc>
        <w:tc>
          <w:tcPr>
            <w:tcW w:type="dxa" w:w="6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CPIS weights in </w:t>
            </w:r>
            <w:r>
              <w:rPr>
                <w:rFonts w:ascii="Consolas" w:cs="Consolas" w:eastAsia="Consolas" w:hAnsi="Consolas"/>
                <w:b w:val="false"/>
                <w:bCs w:val="false"/>
                <w:sz w:val="16"/>
                <w:szCs w:val="16"/>
              </w:rPr>
              <w:t xml:space="preserve">config.yaml</w:t>
            </w:r>
            <w:r>
              <w:rPr>
                <w:rFonts w:ascii="Calibri" w:cs="Calibri" w:eastAsia="Calibri" w:hAnsi="Calibri"/>
                <w:b w:val="false"/>
                <w:bCs w:val="false"/>
                <w:sz w:val="18"/>
                <w:szCs w:val="18"/>
              </w:rPr>
              <w:t xml:space="preserve">, marked “provisional, NOT calibrated”; no code reads them. No hydraulic simulation is run anywhere</w:t>
            </w:r>
          </w:p>
        </w:tc>
        <w:tc>
          <w:tcPr>
            <w:tcW w:type="dxa" w:w="38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None</w:t>
            </w:r>
          </w:p>
        </w:tc>
      </w:tr>
      <w:tr>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5. Recovery</w:t>
            </w:r>
          </w:p>
        </w:tc>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Placeholder</w:t>
            </w:r>
          </w:p>
        </w:tc>
        <w:tc>
          <w:tcPr>
            <w:tcW w:type="dxa" w:w="6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Fixed text lists of mitigation steps, one list per sensor category</w:t>
            </w:r>
          </w:p>
        </w:tc>
        <w:tc>
          <w:tcPr>
            <w:tcW w:type="dxa" w:w="38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None</w:t>
            </w:r>
          </w:p>
        </w:tc>
      </w:tr>
      <w:tr>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6. Dashboard</w:t>
            </w:r>
          </w:p>
        </w:tc>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Done</w:t>
            </w:r>
          </w:p>
        </w:tc>
        <w:tc>
          <w:tcPr>
            <w:tcW w:type="dxa" w:w="6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Streamlit app with anomaly timeline, episode explorer, demo-mode disturbance injection, explanation charts and an incident summary</w:t>
            </w:r>
          </w:p>
        </w:tc>
        <w:tc>
          <w:tcPr>
            <w:tcW w:type="dxa" w:w="38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Screenshots in </w:t>
            </w:r>
            <w:r>
              <w:rPr>
                <w:rFonts w:ascii="Consolas" w:cs="Consolas" w:eastAsia="Consolas" w:hAnsi="Consolas"/>
                <w:b w:val="false"/>
                <w:bCs w:val="false"/>
                <w:sz w:val="16"/>
                <w:szCs w:val="16"/>
              </w:rPr>
              <w:t xml:space="preserve">outputs/</w:t>
            </w:r>
          </w:p>
        </w:tc>
      </w:tr>
      <w:tr>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Test set</w:t>
            </w:r>
          </w:p>
        </w:tc>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Partial</w:t>
            </w:r>
          </w:p>
        </w:tc>
        <w:tc>
          <w:tcPr>
            <w:tcW w:type="dxa" w:w="6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Run on the BATADAL test set, treated as unlabelled: 17 anomaly episodes, 156 of 2,066 windows flagged</w:t>
            </w:r>
          </w:p>
        </w:tc>
        <w:tc>
          <w:tcPr>
            <w:tcW w:type="dxa" w:w="38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Episodes not checked against the real attacks</w:t>
            </w:r>
          </w:p>
        </w:tc>
      </w:tr>
    </w:tbl>
    <w:p>
      <w:pPr>
        <w:spacing w:after="120"/>
      </w:pPr>
    </w:p>
    <w:p>
      <w:pPr>
        <w:spacing w:after="120" w:line="276"/>
      </w:pPr>
      <w:r>
        <w:rPr>
          <w:rFonts w:ascii="Calibri" w:cs="Calibri" w:eastAsia="Calibri" w:hAnsi="Calibri"/>
          <w:sz w:val="20"/>
          <w:szCs w:val="20"/>
        </w:rPr>
        <w:t xml:space="preserve">Additional experiments already completed: forecast horizon comparison (1 vs 12 hours), a parameter-matched capacity control, a 5-seed robustness run and a threshold-percentile sweep. These are useful supporting material for the paper.</w:t>
      </w:r>
    </w:p>
    <w:p>
      <w:pPr>
        <w:pStyle w:val="Heading1"/>
        <w:spacing w:after="160" w:before="360"/>
      </w:pPr>
      <w:r>
        <w:rPr>
          <w:rFonts w:ascii="Calibri" w:cs="Calibri" w:eastAsia="Calibri" w:hAnsi="Calibri"/>
        </w:rPr>
        <w:t xml:space="preserve">4. Mistakes found</w:t>
      </w:r>
    </w:p>
    <w:p>
      <w:pPr>
        <w:spacing w:after="120" w:line="276"/>
      </w:pPr>
      <w:r>
        <w:rPr>
          <w:rFonts w:ascii="Calibri" w:cs="Calibri" w:eastAsia="Calibri" w:hAnsi="Calibri"/>
          <w:sz w:val="20"/>
          <w:szCs w:val="20"/>
        </w:rPr>
        <w:t xml:space="preserve">Three problems would block publication on their own: the Table 5 results have no source, the design's data split leaks synthetic attack samples into the test set, and none of the post-detection stages has been evaluated. The rest are fixable in days.</w:t>
      </w:r>
    </w:p>
    <w:p>
      <w:pPr>
        <w:pStyle w:val="Heading2"/>
        <w:spacing w:after="120" w:before="240"/>
      </w:pPr>
      <w:r>
        <w:rPr>
          <w:rFonts w:ascii="Calibri" w:cs="Calibri" w:eastAsia="Calibri" w:hAnsi="Calibri"/>
        </w:rPr>
        <w:t xml:space="preserve">4.1 In the design document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679"/>
        <w:gridCol w:w="6795"/>
        <w:gridCol w:w="1766"/>
        <w:gridCol w:w="1359"/>
        <w:gridCol w:w="4079"/>
      </w:tblGrid>
      <w:tr>
        <w:trPr>
          <w:tblHeader/>
        </w:trPr>
        <w:tc>
          <w:tcPr>
            <w:tcW w:type="dxa" w:w="6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t>
            </w:r>
          </w:p>
        </w:tc>
        <w:tc>
          <w:tcPr>
            <w:tcW w:type="dxa" w:w="679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Mistake</w:t>
            </w:r>
          </w:p>
        </w:tc>
        <w:tc>
          <w:tcPr>
            <w:tcW w:type="dxa" w:w="176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Where</w:t>
            </w:r>
          </w:p>
        </w:tc>
        <w:tc>
          <w:tcPr>
            <w:tcW w:type="dxa" w:w="135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Severity</w:t>
            </w:r>
          </w:p>
        </w:tc>
        <w:tc>
          <w:tcPr>
            <w:tcW w:type="dxa" w:w="40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Fix</w:t>
            </w:r>
          </w:p>
        </w:tc>
      </w:tr>
      <w:tr>
        <w:tc>
          <w:tcPr>
            <w:tcW w:type="dxa" w:w="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D1</w:t>
            </w:r>
          </w:p>
        </w:tc>
        <w:tc>
          <w:tcPr>
            <w:tcW w:type="dxa" w:w="67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Table 5 results (RF F1 0.9532, ROC-AUC 0.9922) are not produced by any script in either repository</w:t>
            </w:r>
          </w:p>
        </w:tc>
        <w:tc>
          <w:tcPr>
            <w:tcW w:type="dxa" w:w="17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§1.6.7</w:t>
            </w:r>
          </w:p>
        </w:tc>
        <w:tc>
          <w:tcPr>
            <w:tcW w:type="dxa" w:w="1359"/>
            <w:tcBorders>
              <w:top w:val="single" w:color="A6A6A6" w:sz="4"/>
              <w:left w:val="single" w:color="A6A6A6" w:sz="4"/>
              <w:bottom w:val="single" w:color="A6A6A6" w:sz="4"/>
              <w:right w:val="single" w:color="A6A6A6" w:sz="4"/>
            </w:tcBorders>
            <w:shd w:fill="F8D7DA" w:color="auto" w:val="clear"/>
            <w:tcMar>
              <w:top w:type="dxa" w:w="60"/>
              <w:left w:type="dxa" w:w="100"/>
              <w:bottom w:type="dxa" w:w="60"/>
              <w:right w:type="dxa" w:w="100"/>
            </w:tcMar>
          </w:tcPr>
          <w:p>
            <w:r>
              <w:rPr>
                <w:rFonts w:ascii="Calibri" w:cs="Calibri" w:eastAsia="Calibri" w:hAnsi="Calibri"/>
                <w:b w:val="false"/>
                <w:bCs w:val="false"/>
                <w:sz w:val="18"/>
                <w:szCs w:val="18"/>
              </w:rPr>
              <w:t xml:space="preserve">Critical</w:t>
            </w:r>
          </w:p>
        </w:tc>
        <w:tc>
          <w:tcPr>
            <w:tcW w:type="dxa" w:w="40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Remove until a committed script reproduces them</w:t>
            </w:r>
          </w:p>
        </w:tc>
      </w:tr>
      <w:tr>
        <w:tc>
          <w:tcPr>
            <w:tcW w:type="dxa" w:w="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D2</w:t>
            </w:r>
          </w:p>
        </w:tc>
        <w:tc>
          <w:tcPr>
            <w:tcW w:type="dxa" w:w="67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SMOTE is applied to all 4,177 rows, then the 7,486 rows are split 80/20. Synthetic attacks made from test-set attacks end up in the test set, which inflates the scores. This contradicts the doc's own “SMOTE on training only” bullet</w:t>
            </w:r>
          </w:p>
        </w:tc>
        <w:tc>
          <w:tcPr>
            <w:tcW w:type="dxa" w:w="17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§1.5.4, §1.5.5</w:t>
            </w:r>
          </w:p>
        </w:tc>
        <w:tc>
          <w:tcPr>
            <w:tcW w:type="dxa" w:w="1359"/>
            <w:tcBorders>
              <w:top w:val="single" w:color="A6A6A6" w:sz="4"/>
              <w:left w:val="single" w:color="A6A6A6" w:sz="4"/>
              <w:bottom w:val="single" w:color="A6A6A6" w:sz="4"/>
              <w:right w:val="single" w:color="A6A6A6" w:sz="4"/>
            </w:tcBorders>
            <w:shd w:fill="F8D7DA" w:color="auto" w:val="clear"/>
            <w:tcMar>
              <w:top w:type="dxa" w:w="60"/>
              <w:left w:type="dxa" w:w="100"/>
              <w:bottom w:type="dxa" w:w="60"/>
              <w:right w:type="dxa" w:w="100"/>
            </w:tcMar>
          </w:tcPr>
          <w:p>
            <w:r>
              <w:rPr>
                <w:rFonts w:ascii="Calibri" w:cs="Calibri" w:eastAsia="Calibri" w:hAnsi="Calibri"/>
                <w:b w:val="false"/>
                <w:bCs w:val="false"/>
                <w:sz w:val="18"/>
                <w:szCs w:val="18"/>
              </w:rPr>
              <w:t xml:space="preserve">Critical</w:t>
            </w:r>
          </w:p>
        </w:tc>
        <w:tc>
          <w:tcPr>
            <w:tcW w:type="dxa" w:w="40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Split first, chronologically; apply SMOTE and the scaler to the training part only</w:t>
            </w:r>
          </w:p>
        </w:tc>
      </w:tr>
      <w:tr>
        <w:tc>
          <w:tcPr>
            <w:tcW w:type="dxa" w:w="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D3</w:t>
            </w:r>
          </w:p>
        </w:tc>
        <w:tc>
          <w:tcPr>
            <w:tcW w:type="dxa" w:w="67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Random train/test split of hourly time-series data: neighbouring hours fall on both sides</w:t>
            </w:r>
          </w:p>
        </w:tc>
        <w:tc>
          <w:tcPr>
            <w:tcW w:type="dxa" w:w="17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§1.5.5</w:t>
            </w:r>
          </w:p>
        </w:tc>
        <w:tc>
          <w:tcPr>
            <w:tcW w:type="dxa" w:w="1359"/>
            <w:tcBorders>
              <w:top w:val="single" w:color="A6A6A6" w:sz="4"/>
              <w:left w:val="single" w:color="A6A6A6" w:sz="4"/>
              <w:bottom w:val="single" w:color="A6A6A6" w:sz="4"/>
              <w:right w:val="single" w:color="A6A6A6" w:sz="4"/>
            </w:tcBorders>
            <w:shd w:fill="FCE5CD" w:color="auto" w:val="clear"/>
            <w:tcMar>
              <w:top w:type="dxa" w:w="60"/>
              <w:left w:type="dxa" w:w="100"/>
              <w:bottom w:type="dxa" w:w="60"/>
              <w:right w:type="dxa" w:w="100"/>
            </w:tcMar>
          </w:tcPr>
          <w:p>
            <w:r>
              <w:rPr>
                <w:rFonts w:ascii="Calibri" w:cs="Calibri" w:eastAsia="Calibri" w:hAnsi="Calibri"/>
                <w:b w:val="false"/>
                <w:bCs w:val="false"/>
                <w:sz w:val="18"/>
                <w:szCs w:val="18"/>
              </w:rPr>
              <w:t xml:space="preserve">High</w:t>
            </w:r>
          </w:p>
        </w:tc>
        <w:tc>
          <w:tcPr>
            <w:tcW w:type="dxa" w:w="40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Chronological split, or train on dataset03/04 and test on the BATADAL test set</w:t>
            </w:r>
          </w:p>
        </w:tc>
      </w:tr>
      <w:tr>
        <w:tc>
          <w:tcPr>
            <w:tcW w:type="dxa" w:w="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D4</w:t>
            </w:r>
          </w:p>
        </w:tc>
        <w:tc>
          <w:tcPr>
            <w:tcW w:type="dxa" w:w="67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“Testing partition: 1,498 samples (or holdout evaluation splits of 836 samples)” — two different test sets</w:t>
            </w:r>
          </w:p>
        </w:tc>
        <w:tc>
          <w:tcPr>
            <w:tcW w:type="dxa" w:w="17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§1.5.5</w:t>
            </w:r>
          </w:p>
        </w:tc>
        <w:tc>
          <w:tcPr>
            <w:tcW w:type="dxa" w:w="135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r>
              <w:rPr>
                <w:rFonts w:ascii="Calibri" w:cs="Calibri" w:eastAsia="Calibri" w:hAnsi="Calibri"/>
                <w:b w:val="false"/>
                <w:bCs w:val="false"/>
                <w:sz w:val="18"/>
                <w:szCs w:val="18"/>
              </w:rPr>
              <w:t xml:space="preserve">Medium</w:t>
            </w:r>
          </w:p>
        </w:tc>
        <w:tc>
          <w:tcPr>
            <w:tcW w:type="dxa" w:w="40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State one test set</w:t>
            </w:r>
          </w:p>
        </w:tc>
      </w:tr>
      <w:tr>
        <w:tc>
          <w:tcPr>
            <w:tcW w:type="dxa" w:w="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D5</w:t>
            </w:r>
          </w:p>
        </w:tc>
        <w:tc>
          <w:tcPr>
            <w:tcW w:type="dxa" w:w="67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XGBoost is “selected” but has no row in Table 5; Table 4 mixes XGBoost-only parameters with RF</w:t>
            </w:r>
          </w:p>
        </w:tc>
        <w:tc>
          <w:tcPr>
            <w:tcW w:type="dxa" w:w="17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§1.6.3–1.6.7</w:t>
            </w:r>
          </w:p>
        </w:tc>
        <w:tc>
          <w:tcPr>
            <w:tcW w:type="dxa" w:w="135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r>
              <w:rPr>
                <w:rFonts w:ascii="Calibri" w:cs="Calibri" w:eastAsia="Calibri" w:hAnsi="Calibri"/>
                <w:b w:val="false"/>
                <w:bCs w:val="false"/>
                <w:sz w:val="18"/>
                <w:szCs w:val="18"/>
              </w:rPr>
              <w:t xml:space="preserve">Medium</w:t>
            </w:r>
          </w:p>
        </w:tc>
        <w:tc>
          <w:tcPr>
            <w:tcW w:type="dxa" w:w="40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Report both models with their own parameters</w:t>
            </w:r>
          </w:p>
        </w:tc>
      </w:tr>
      <w:tr>
        <w:tc>
          <w:tcPr>
            <w:tcW w:type="dxa" w:w="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D6</w:t>
            </w:r>
          </w:p>
        </w:tc>
        <w:tc>
          <w:tcPr>
            <w:tcW w:type="dxa" w:w="67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Dataset04 is said to have 434 attack rows; the public partially-labelled file marks unknown periods as −999. Which file is used must be stated</w:t>
            </w:r>
          </w:p>
        </w:tc>
        <w:tc>
          <w:tcPr>
            <w:tcW w:type="dxa" w:w="17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§1.5.2</w:t>
            </w:r>
          </w:p>
        </w:tc>
        <w:tc>
          <w:tcPr>
            <w:tcW w:type="dxa" w:w="1359"/>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r>
              <w:rPr>
                <w:rFonts w:ascii="Calibri" w:cs="Calibri" w:eastAsia="Calibri" w:hAnsi="Calibri"/>
                <w:b w:val="false"/>
                <w:bCs w:val="false"/>
                <w:sz w:val="18"/>
                <w:szCs w:val="18"/>
              </w:rPr>
              <w:t xml:space="preserve">Medium</w:t>
            </w:r>
          </w:p>
        </w:tc>
        <w:tc>
          <w:tcPr>
            <w:tcW w:type="dxa" w:w="40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Name the exact file and how −999 is handled</w:t>
            </w:r>
          </w:p>
        </w:tc>
      </w:tr>
      <w:tr>
        <w:tc>
          <w:tcPr>
            <w:tcW w:type="dxa" w:w="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D7</w:t>
            </w:r>
          </w:p>
        </w:tc>
        <w:tc>
          <w:tcPr>
            <w:tcW w:type="dxa" w:w="67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Traceability matrix points O3 and O4 to §2.1.5, which is the Prediction Module</w:t>
            </w:r>
          </w:p>
        </w:tc>
        <w:tc>
          <w:tcPr>
            <w:tcW w:type="dxa" w:w="17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§2.7</w:t>
            </w:r>
          </w:p>
        </w:tc>
        <w:tc>
          <w:tcPr>
            <w:tcW w:type="dxa" w:w="1359"/>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rFonts w:ascii="Calibri" w:cs="Calibri" w:eastAsia="Calibri" w:hAnsi="Calibri"/>
                <w:b w:val="false"/>
                <w:bCs w:val="false"/>
                <w:sz w:val="18"/>
                <w:szCs w:val="18"/>
              </w:rPr>
              <w:t xml:space="preserve">Low</w:t>
            </w:r>
          </w:p>
        </w:tc>
        <w:tc>
          <w:tcPr>
            <w:tcW w:type="dxa" w:w="40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Correct section references</w:t>
            </w:r>
          </w:p>
        </w:tc>
      </w:tr>
      <w:tr>
        <w:tc>
          <w:tcPr>
            <w:tcW w:type="dxa" w:w="6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D8</w:t>
            </w:r>
          </w:p>
        </w:tc>
        <w:tc>
          <w:tcPr>
            <w:tcW w:type="dxa" w:w="67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Recommended hardware (dual 4K monitors, RTX 3060) is not justified for a CPU tree model</w:t>
            </w:r>
          </w:p>
        </w:tc>
        <w:tc>
          <w:tcPr>
            <w:tcW w:type="dxa" w:w="17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§2.6.1</w:t>
            </w:r>
          </w:p>
        </w:tc>
        <w:tc>
          <w:tcPr>
            <w:tcW w:type="dxa" w:w="1359"/>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rFonts w:ascii="Calibri" w:cs="Calibri" w:eastAsia="Calibri" w:hAnsi="Calibri"/>
                <w:b w:val="false"/>
                <w:bCs w:val="false"/>
                <w:sz w:val="18"/>
                <w:szCs w:val="18"/>
              </w:rPr>
              <w:t xml:space="preserve">Low</w:t>
            </w:r>
          </w:p>
        </w:tc>
        <w:tc>
          <w:tcPr>
            <w:tcW w:type="dxa" w:w="40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Trim to what is needed</w:t>
            </w:r>
          </w:p>
        </w:tc>
      </w:tr>
    </w:tbl>
    <w:p>
      <w:pPr>
        <w:pStyle w:val="Heading2"/>
        <w:spacing w:after="120" w:before="240"/>
      </w:pPr>
      <w:r>
        <w:rPr>
          <w:rFonts w:ascii="Calibri" w:cs="Calibri" w:eastAsia="Calibri" w:hAnsi="Calibri"/>
        </w:rPr>
        <w:t xml:space="preserve">4.2 In the implementation</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638"/>
        <w:gridCol w:w="6381"/>
        <w:gridCol w:w="2552"/>
        <w:gridCol w:w="1276"/>
        <w:gridCol w:w="3831"/>
      </w:tblGrid>
      <w:tr>
        <w:trPr>
          <w:tblHeader/>
        </w:trPr>
        <w:tc>
          <w:tcPr>
            <w:tcW w:type="dxa" w:w="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t>
            </w:r>
          </w:p>
        </w:tc>
        <w:tc>
          <w:tcPr>
            <w:tcW w:type="dxa" w:w="638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Mistake</w:t>
            </w:r>
          </w:p>
        </w:tc>
        <w:tc>
          <w:tcPr>
            <w:tcW w:type="dxa" w:w="255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Where</w:t>
            </w:r>
          </w:p>
        </w:tc>
        <w:tc>
          <w:tcPr>
            <w:tcW w:type="dxa" w:w="127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Severity</w:t>
            </w:r>
          </w:p>
        </w:tc>
        <w:tc>
          <w:tcPr>
            <w:tcW w:type="dxa" w:w="383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Fix</w:t>
            </w:r>
          </w:p>
        </w:tc>
      </w:tr>
      <w:tr>
        <w:tc>
          <w:tcPr>
            <w:tcW w:type="dxa" w:w="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I1</w:t>
            </w:r>
          </w:p>
        </w:tc>
        <w:tc>
          <w:tcPr>
            <w:tcW w:type="dxa" w:w="63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Explanation, localization, root-cause, impact and recovery modules are empty; root cause, impact and recovery are not evaluated at all</w:t>
            </w:r>
          </w:p>
        </w:tc>
        <w:tc>
          <w:tcPr>
            <w:tcW w:type="dxa" w:w="25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src/*/__init__.py</w:t>
            </w:r>
          </w:p>
        </w:tc>
        <w:tc>
          <w:tcPr>
            <w:tcW w:type="dxa" w:w="1276"/>
            <w:tcBorders>
              <w:top w:val="single" w:color="A6A6A6" w:sz="4"/>
              <w:left w:val="single" w:color="A6A6A6" w:sz="4"/>
              <w:bottom w:val="single" w:color="A6A6A6" w:sz="4"/>
              <w:right w:val="single" w:color="A6A6A6" w:sz="4"/>
            </w:tcBorders>
            <w:shd w:fill="F8D7DA" w:color="auto" w:val="clear"/>
            <w:tcMar>
              <w:top w:type="dxa" w:w="60"/>
              <w:left w:type="dxa" w:w="100"/>
              <w:bottom w:type="dxa" w:w="60"/>
              <w:right w:type="dxa" w:w="100"/>
            </w:tcMar>
          </w:tcPr>
          <w:p>
            <w:r>
              <w:rPr>
                <w:rFonts w:ascii="Calibri" w:cs="Calibri" w:eastAsia="Calibri" w:hAnsi="Calibri"/>
                <w:b w:val="false"/>
                <w:bCs w:val="false"/>
                <w:sz w:val="18"/>
                <w:szCs w:val="18"/>
              </w:rPr>
              <w:t xml:space="preserve">Critical</w:t>
            </w:r>
          </w:p>
        </w:tc>
        <w:tc>
          <w:tcPr>
            <w:tcW w:type="dxa" w:w="383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Phase 1 and Phase 2 below</w:t>
            </w:r>
          </w:p>
        </w:tc>
      </w:tr>
      <w:tr>
        <w:tc>
          <w:tcPr>
            <w:tcW w:type="dxa" w:w="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I2</w:t>
            </w:r>
          </w:p>
        </w:tc>
        <w:tc>
          <w:tcPr>
            <w:tcW w:type="dxa" w:w="63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Root cause in the dashboard is circular: it reports the sensor the user chose to disturb</w:t>
            </w:r>
          </w:p>
        </w:tc>
        <w:tc>
          <w:tcPr>
            <w:tcW w:type="dxa" w:w="25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dashboard/app.py</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analyze_topology_and_impact</w:t>
            </w:r>
          </w:p>
        </w:tc>
        <w:tc>
          <w:tcPr>
            <w:tcW w:type="dxa" w:w="1276"/>
            <w:tcBorders>
              <w:top w:val="single" w:color="A6A6A6" w:sz="4"/>
              <w:left w:val="single" w:color="A6A6A6" w:sz="4"/>
              <w:bottom w:val="single" w:color="A6A6A6" w:sz="4"/>
              <w:right w:val="single" w:color="A6A6A6" w:sz="4"/>
            </w:tcBorders>
            <w:shd w:fill="F8D7DA" w:color="auto" w:val="clear"/>
            <w:tcMar>
              <w:top w:type="dxa" w:w="60"/>
              <w:left w:type="dxa" w:w="100"/>
              <w:bottom w:type="dxa" w:w="60"/>
              <w:right w:type="dxa" w:w="100"/>
            </w:tcMar>
          </w:tcPr>
          <w:p>
            <w:r>
              <w:rPr>
                <w:rFonts w:ascii="Calibri" w:cs="Calibri" w:eastAsia="Calibri" w:hAnsi="Calibri"/>
                <w:b w:val="false"/>
                <w:bCs w:val="false"/>
                <w:sz w:val="18"/>
                <w:szCs w:val="18"/>
              </w:rPr>
              <w:t xml:space="preserve">Critical</w:t>
            </w:r>
          </w:p>
        </w:tc>
        <w:tc>
          <w:tcPr>
            <w:tcW w:type="dxa" w:w="383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Root cause must be inferred from the explanation output, never from the injected sensor</w:t>
            </w:r>
          </w:p>
        </w:tc>
      </w:tr>
      <w:tr>
        <w:tc>
          <w:tcPr>
            <w:tcW w:type="dxa" w:w="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I3</w:t>
            </w:r>
          </w:p>
        </w:tc>
        <w:tc>
          <w:tcPr>
            <w:tcW w:type="dxa" w:w="63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The attributions are labelled SHAP and LIME but are not those methods</w:t>
            </w:r>
          </w:p>
        </w:tc>
        <w:tc>
          <w:tcPr>
            <w:tcW w:type="dxa" w:w="25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compute_xai_explanations</w:t>
            </w:r>
          </w:p>
        </w:tc>
        <w:tc>
          <w:tcPr>
            <w:tcW w:type="dxa" w:w="1276"/>
            <w:tcBorders>
              <w:top w:val="single" w:color="A6A6A6" w:sz="4"/>
              <w:left w:val="single" w:color="A6A6A6" w:sz="4"/>
              <w:bottom w:val="single" w:color="A6A6A6" w:sz="4"/>
              <w:right w:val="single" w:color="A6A6A6" w:sz="4"/>
            </w:tcBorders>
            <w:shd w:fill="FCE5CD" w:color="auto" w:val="clear"/>
            <w:tcMar>
              <w:top w:type="dxa" w:w="60"/>
              <w:left w:type="dxa" w:w="100"/>
              <w:bottom w:type="dxa" w:w="60"/>
              <w:right w:type="dxa" w:w="100"/>
            </w:tcMar>
          </w:tcPr>
          <w:p>
            <w:r>
              <w:rPr>
                <w:rFonts w:ascii="Calibri" w:cs="Calibri" w:eastAsia="Calibri" w:hAnsi="Calibri"/>
                <w:b w:val="false"/>
                <w:bCs w:val="false"/>
                <w:sz w:val="18"/>
                <w:szCs w:val="18"/>
              </w:rPr>
              <w:t xml:space="preserve">High</w:t>
            </w:r>
          </w:p>
        </w:tc>
        <w:tc>
          <w:tcPr>
            <w:tcW w:type="dxa" w:w="383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Use the </w:t>
            </w:r>
            <w:r>
              <w:rPr>
                <w:rFonts w:ascii="Consolas" w:cs="Consolas" w:eastAsia="Consolas" w:hAnsi="Consolas"/>
                <w:b w:val="false"/>
                <w:bCs w:val="false"/>
                <w:sz w:val="16"/>
                <w:szCs w:val="16"/>
              </w:rPr>
              <w:t xml:space="preserve">shap</w:t>
            </w:r>
            <w:r>
              <w:rPr>
                <w:rFonts w:ascii="Calibri" w:cs="Calibri" w:eastAsia="Calibri" w:hAnsi="Calibri"/>
                <w:b w:val="false"/>
                <w:bCs w:val="false"/>
                <w:sz w:val="18"/>
                <w:szCs w:val="18"/>
              </w:rPr>
              <w:t xml:space="preserve"> and </w:t>
            </w:r>
            <w:r>
              <w:rPr>
                <w:rFonts w:ascii="Consolas" w:cs="Consolas" w:eastAsia="Consolas" w:hAnsi="Consolas"/>
                <w:b w:val="false"/>
                <w:bCs w:val="false"/>
                <w:sz w:val="16"/>
                <w:szCs w:val="16"/>
              </w:rPr>
              <w:t xml:space="preserve">lime</w:t>
            </w:r>
            <w:r>
              <w:rPr>
                <w:rFonts w:ascii="Calibri" w:cs="Calibri" w:eastAsia="Calibri" w:hAnsi="Calibri"/>
                <w:b w:val="false"/>
                <w:bCs w:val="false"/>
                <w:sz w:val="18"/>
                <w:szCs w:val="18"/>
              </w:rPr>
              <w:t xml:space="preserve"> libraries, or rename the methods honestly</w:t>
            </w:r>
          </w:p>
        </w:tc>
      </w:tr>
      <w:tr>
        <w:tc>
          <w:tcPr>
            <w:tcW w:type="dxa" w:w="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I4</w:t>
            </w:r>
          </w:p>
        </w:tc>
        <w:tc>
          <w:tcPr>
            <w:tcW w:type="dxa" w:w="63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Settings (forecast horizon, threshold percentile, scoring method) were chosen by looking at dataset04 results, and dataset04 is then reported as the validation result</w:t>
            </w:r>
          </w:p>
        </w:tc>
        <w:tc>
          <w:tcPr>
            <w:tcW w:type="dxa" w:w="25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scratch/run_*_ablation.py</w:t>
            </w:r>
          </w:p>
        </w:tc>
        <w:tc>
          <w:tcPr>
            <w:tcW w:type="dxa" w:w="1276"/>
            <w:tcBorders>
              <w:top w:val="single" w:color="A6A6A6" w:sz="4"/>
              <w:left w:val="single" w:color="A6A6A6" w:sz="4"/>
              <w:bottom w:val="single" w:color="A6A6A6" w:sz="4"/>
              <w:right w:val="single" w:color="A6A6A6" w:sz="4"/>
            </w:tcBorders>
            <w:shd w:fill="FCE5CD" w:color="auto" w:val="clear"/>
            <w:tcMar>
              <w:top w:type="dxa" w:w="60"/>
              <w:left w:type="dxa" w:w="100"/>
              <w:bottom w:type="dxa" w:w="60"/>
              <w:right w:type="dxa" w:w="100"/>
            </w:tcMar>
          </w:tcPr>
          <w:p>
            <w:r>
              <w:rPr>
                <w:rFonts w:ascii="Calibri" w:cs="Calibri" w:eastAsia="Calibri" w:hAnsi="Calibri"/>
                <w:b w:val="false"/>
                <w:bCs w:val="false"/>
                <w:sz w:val="18"/>
                <w:szCs w:val="18"/>
              </w:rPr>
              <w:t xml:space="preserve">High</w:t>
            </w:r>
          </w:p>
        </w:tc>
        <w:tc>
          <w:tcPr>
            <w:tcW w:type="dxa" w:w="383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Choose settings on one set, report on another (the labelled test set)</w:t>
            </w:r>
          </w:p>
        </w:tc>
      </w:tr>
      <w:tr>
        <w:tc>
          <w:tcPr>
            <w:tcW w:type="dxa" w:w="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I5</w:t>
            </w:r>
          </w:p>
        </w:tc>
        <w:tc>
          <w:tcPr>
            <w:tcW w:type="dxa" w:w="63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The BATADAL test set is treated as unlabelled, although its attack timings are published (Taormina et al. 2018)</w:t>
            </w:r>
          </w:p>
        </w:tc>
        <w:tc>
          <w:tcPr>
            <w:tcW w:type="dxa" w:w="25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scratch/run_test_inference*.py</w:t>
            </w:r>
          </w:p>
        </w:tc>
        <w:tc>
          <w:tcPr>
            <w:tcW w:type="dxa" w:w="1276"/>
            <w:tcBorders>
              <w:top w:val="single" w:color="A6A6A6" w:sz="4"/>
              <w:left w:val="single" w:color="A6A6A6" w:sz="4"/>
              <w:bottom w:val="single" w:color="A6A6A6" w:sz="4"/>
              <w:right w:val="single" w:color="A6A6A6" w:sz="4"/>
            </w:tcBorders>
            <w:shd w:fill="FCE5CD" w:color="auto" w:val="clear"/>
            <w:tcMar>
              <w:top w:type="dxa" w:w="60"/>
              <w:left w:type="dxa" w:w="100"/>
              <w:bottom w:type="dxa" w:w="60"/>
              <w:right w:type="dxa" w:w="100"/>
            </w:tcMar>
          </w:tcPr>
          <w:p>
            <w:r>
              <w:rPr>
                <w:rFonts w:ascii="Calibri" w:cs="Calibri" w:eastAsia="Calibri" w:hAnsi="Calibri"/>
                <w:b w:val="false"/>
                <w:bCs w:val="false"/>
                <w:sz w:val="18"/>
                <w:szCs w:val="18"/>
              </w:rPr>
              <w:t xml:space="preserve">High</w:t>
            </w:r>
          </w:p>
        </w:tc>
        <w:tc>
          <w:tcPr>
            <w:tcW w:type="dxa" w:w="383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Score the 17 episodes against the published attacks</w:t>
            </w:r>
          </w:p>
        </w:tc>
      </w:tr>
      <w:tr>
        <w:tc>
          <w:tcPr>
            <w:tcW w:type="dxa" w:w="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I6</w:t>
            </w:r>
          </w:p>
        </w:tc>
        <w:tc>
          <w:tcPr>
            <w:tcW w:type="dxa" w:w="63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Label value −999 is converted to 0 (normal). Unlabelled attack hours may be counted as normal, which inflates false positives</w:t>
            </w:r>
          </w:p>
        </w:tc>
        <w:tc>
          <w:tcPr>
            <w:tcW w:type="dxa" w:w="25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dataset_loader.py</w:t>
            </w:r>
          </w:p>
        </w:tc>
        <w:tc>
          <w:tcPr>
            <w:tcW w:type="dxa" w:w="12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r>
              <w:rPr>
                <w:rFonts w:ascii="Calibri" w:cs="Calibri" w:eastAsia="Calibri" w:hAnsi="Calibri"/>
                <w:b w:val="false"/>
                <w:bCs w:val="false"/>
                <w:sz w:val="18"/>
                <w:szCs w:val="18"/>
              </w:rPr>
              <w:t xml:space="preserve">Medium</w:t>
            </w:r>
          </w:p>
        </w:tc>
        <w:tc>
          <w:tcPr>
            <w:tcW w:type="dxa" w:w="383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Exclude −999 rows from scoring, or use the fully labelled file</w:t>
            </w:r>
          </w:p>
        </w:tc>
      </w:tr>
      <w:tr>
        <w:tc>
          <w:tcPr>
            <w:tcW w:type="dxa" w:w="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I7</w:t>
            </w:r>
          </w:p>
        </w:tc>
        <w:tc>
          <w:tcPr>
            <w:tcW w:type="dxa" w:w="63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Pump PU3 has near-zero variance in the calibration data; dividing by it (floor 1e-8) gives scores around 10^10</w:t>
            </w:r>
          </w:p>
        </w:tc>
        <w:tc>
          <w:tcPr>
            <w:tcW w:type="dxa" w:w="25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scoring in </w:t>
            </w:r>
            <w:r>
              <w:rPr>
                <w:rFonts w:ascii="Consolas" w:cs="Consolas" w:eastAsia="Consolas" w:hAnsi="Consolas"/>
                <w:b w:val="false"/>
                <w:bCs w:val="false"/>
                <w:sz w:val="16"/>
                <w:szCs w:val="16"/>
              </w:rPr>
              <w:t xml:space="preserve">scratch/</w:t>
            </w:r>
          </w:p>
        </w:tc>
        <w:tc>
          <w:tcPr>
            <w:tcW w:type="dxa" w:w="12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r>
              <w:rPr>
                <w:rFonts w:ascii="Calibri" w:cs="Calibri" w:eastAsia="Calibri" w:hAnsi="Calibri"/>
                <w:b w:val="false"/>
                <w:bCs w:val="false"/>
                <w:sz w:val="18"/>
                <w:szCs w:val="18"/>
              </w:rPr>
              <w:t xml:space="preserve">Medium</w:t>
            </w:r>
          </w:p>
        </w:tc>
        <w:tc>
          <w:tcPr>
            <w:tcW w:type="dxa" w:w="383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Set a realistic variance floor, or score on/off channels separately</w:t>
            </w:r>
          </w:p>
        </w:tc>
      </w:tr>
      <w:tr>
        <w:tc>
          <w:tcPr>
            <w:tcW w:type="dxa" w:w="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I8</w:t>
            </w:r>
          </w:p>
        </w:tc>
        <w:tc>
          <w:tcPr>
            <w:tcW w:type="dxa" w:w="63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The topology matrix is applied once as a fixed multiplication and the next layer mixes all sensors anyway; no comparison without the graph has been run</w:t>
            </w:r>
          </w:p>
        </w:tc>
        <w:tc>
          <w:tcPr>
            <w:tcW w:type="dxa" w:w="25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graph_model.py</w:t>
            </w:r>
          </w:p>
        </w:tc>
        <w:tc>
          <w:tcPr>
            <w:tcW w:type="dxa" w:w="12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r>
              <w:rPr>
                <w:rFonts w:ascii="Calibri" w:cs="Calibri" w:eastAsia="Calibri" w:hAnsi="Calibri"/>
                <w:b w:val="false"/>
                <w:bCs w:val="false"/>
                <w:sz w:val="18"/>
                <w:szCs w:val="18"/>
              </w:rPr>
              <w:t xml:space="preserve">Medium</w:t>
            </w:r>
          </w:p>
        </w:tc>
        <w:tc>
          <w:tcPr>
            <w:tcW w:type="dxa" w:w="383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Run the same model with an identity matrix; report both</w:t>
            </w:r>
          </w:p>
        </w:tc>
      </w:tr>
      <w:tr>
        <w:tc>
          <w:tcPr>
            <w:tcW w:type="dxa" w:w="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I9</w:t>
            </w:r>
          </w:p>
        </w:tc>
        <w:tc>
          <w:tcPr>
            <w:tcW w:type="dxa" w:w="63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Headline score is computed in </w:t>
            </w:r>
            <w:r>
              <w:rPr>
                <w:rFonts w:ascii="Consolas" w:cs="Consolas" w:eastAsia="Consolas" w:hAnsi="Consolas"/>
                <w:b w:val="false"/>
                <w:bCs w:val="false"/>
                <w:sz w:val="16"/>
                <w:szCs w:val="16"/>
              </w:rPr>
              <w:t xml:space="preserve">scratch/</w:t>
            </w:r>
            <w:r>
              <w:rPr>
                <w:rFonts w:ascii="Calibri" w:cs="Calibri" w:eastAsia="Calibri" w:hAnsi="Calibri"/>
                <w:b w:val="false"/>
                <w:bCs w:val="false"/>
                <w:sz w:val="18"/>
                <w:szCs w:val="18"/>
              </w:rPr>
              <w:t xml:space="preserve">, while </w:t>
            </w:r>
            <w:r>
              <w:rPr>
                <w:rFonts w:ascii="Consolas" w:cs="Consolas" w:eastAsia="Consolas" w:hAnsi="Consolas"/>
                <w:b w:val="false"/>
                <w:bCs w:val="false"/>
                <w:sz w:val="16"/>
                <w:szCs w:val="16"/>
              </w:rPr>
              <w:t xml:space="preserve">src/detection/train.py</w:t>
            </w:r>
            <w:r>
              <w:rPr>
                <w:rFonts w:ascii="Calibri" w:cs="Calibri" w:eastAsia="Calibri" w:hAnsi="Calibri"/>
                <w:b w:val="false"/>
                <w:bCs w:val="false"/>
                <w:sz w:val="18"/>
                <w:szCs w:val="18"/>
              </w:rPr>
              <w:t xml:space="preserve"> computes a different one; committed </w:t>
            </w:r>
            <w:r>
              <w:rPr>
                <w:rFonts w:ascii="Consolas" w:cs="Consolas" w:eastAsia="Consolas" w:hAnsi="Consolas"/>
                <w:b w:val="false"/>
                <w:bCs w:val="false"/>
                <w:sz w:val="16"/>
                <w:szCs w:val="16"/>
              </w:rPr>
              <w:t xml:space="preserve">detection_metrics.json</w:t>
            </w:r>
            <w:r>
              <w:rPr>
                <w:rFonts w:ascii="Calibri" w:cs="Calibri" w:eastAsia="Calibri" w:hAnsi="Calibri"/>
                <w:b w:val="false"/>
                <w:bCs w:val="false"/>
                <w:sz w:val="18"/>
                <w:szCs w:val="18"/>
              </w:rPr>
              <w:t xml:space="preserve"> (0 attacks) and </w:t>
            </w:r>
            <w:r>
              <w:rPr>
                <w:rFonts w:ascii="Consolas" w:cs="Consolas" w:eastAsia="Consolas" w:hAnsi="Consolas"/>
                <w:b w:val="false"/>
                <w:bCs w:val="false"/>
                <w:sz w:val="16"/>
                <w:szCs w:val="16"/>
              </w:rPr>
              <w:t xml:space="preserve">calibrated_threshold.json</w:t>
            </w:r>
            <w:r>
              <w:rPr>
                <w:rFonts w:ascii="Calibri" w:cs="Calibri" w:eastAsia="Calibri" w:hAnsi="Calibri"/>
                <w:b w:val="false"/>
                <w:bCs w:val="false"/>
                <w:sz w:val="18"/>
                <w:szCs w:val="18"/>
              </w:rPr>
              <w:t xml:space="preserve"> (3.29) contradict the README (3.013)</w:t>
            </w:r>
          </w:p>
        </w:tc>
        <w:tc>
          <w:tcPr>
            <w:tcW w:type="dxa" w:w="25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results/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scratch/</w:t>
            </w:r>
          </w:p>
        </w:tc>
        <w:tc>
          <w:tcPr>
            <w:tcW w:type="dxa" w:w="12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r>
              <w:rPr>
                <w:rFonts w:ascii="Calibri" w:cs="Calibri" w:eastAsia="Calibri" w:hAnsi="Calibri"/>
                <w:b w:val="false"/>
                <w:bCs w:val="false"/>
                <w:sz w:val="18"/>
                <w:szCs w:val="18"/>
              </w:rPr>
              <w:t xml:space="preserve">Medium</w:t>
            </w:r>
          </w:p>
        </w:tc>
        <w:tc>
          <w:tcPr>
            <w:tcW w:type="dxa" w:w="383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Move the final scoring into </w:t>
            </w:r>
            <w:r>
              <w:rPr>
                <w:rFonts w:ascii="Consolas" w:cs="Consolas" w:eastAsia="Consolas" w:hAnsi="Consolas"/>
                <w:b w:val="false"/>
                <w:bCs w:val="false"/>
                <w:sz w:val="16"/>
                <w:szCs w:val="16"/>
              </w:rPr>
              <w:t xml:space="preserve">src/</w:t>
            </w:r>
            <w:r>
              <w:rPr>
                <w:rFonts w:ascii="Calibri" w:cs="Calibri" w:eastAsia="Calibri" w:hAnsi="Calibri"/>
                <w:b w:val="false"/>
                <w:bCs w:val="false"/>
                <w:sz w:val="18"/>
                <w:szCs w:val="18"/>
              </w:rPr>
              <w:t xml:space="preserve">; regenerate results files</w:t>
            </w:r>
          </w:p>
        </w:tc>
      </w:tr>
      <w:tr>
        <w:tc>
          <w:tcPr>
            <w:tcW w:type="dxa" w:w="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I10</w:t>
            </w:r>
          </w:p>
        </w:tc>
        <w:tc>
          <w:tcPr>
            <w:tcW w:type="dxa" w:w="63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Sensor breakdown in </w:t>
            </w:r>
            <w:r>
              <w:rPr>
                <w:rFonts w:ascii="Consolas" w:cs="Consolas" w:eastAsia="Consolas" w:hAnsi="Consolas"/>
                <w:b w:val="false"/>
                <w:bCs w:val="false"/>
                <w:sz w:val="16"/>
                <w:szCs w:val="16"/>
              </w:rPr>
              <w:t xml:space="preserve">final_results_summary.json</w:t>
            </w:r>
            <w:r>
              <w:rPr>
                <w:rFonts w:ascii="Calibri" w:cs="Calibri" w:eastAsia="Calibri" w:hAnsi="Calibri"/>
                <w:b w:val="false"/>
                <w:bCs w:val="false"/>
                <w:sz w:val="18"/>
                <w:szCs w:val="18"/>
              </w:rPr>
              <w:t xml:space="preserve"> (31 pressures, 4 flows, 1 status) is wrong; BATADAL has 12 pressures, 7 levels, 12 flows, 12 statuses</w:t>
            </w:r>
          </w:p>
        </w:tc>
        <w:tc>
          <w:tcPr>
            <w:tcW w:type="dxa" w:w="25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results/final_results_summary.json</w:t>
            </w:r>
          </w:p>
        </w:tc>
        <w:tc>
          <w:tcPr>
            <w:tcW w:type="dxa" w:w="1276"/>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rFonts w:ascii="Calibri" w:cs="Calibri" w:eastAsia="Calibri" w:hAnsi="Calibri"/>
                <w:b w:val="false"/>
                <w:bCs w:val="false"/>
                <w:sz w:val="18"/>
                <w:szCs w:val="18"/>
              </w:rPr>
              <w:t xml:space="preserve">Low</w:t>
            </w:r>
          </w:p>
        </w:tc>
        <w:tc>
          <w:tcPr>
            <w:tcW w:type="dxa" w:w="383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Fix the type classifier</w:t>
            </w:r>
          </w:p>
        </w:tc>
      </w:tr>
      <w:tr>
        <w:tc>
          <w:tcPr>
            <w:tcW w:type="dxa" w:w="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I11</w:t>
            </w:r>
          </w:p>
        </w:tc>
        <w:tc>
          <w:tcPr>
            <w:tcW w:type="dxa" w:w="63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Data and checkpoints are excluded from git; nobody can reproduce the results</w:t>
            </w:r>
          </w:p>
        </w:tc>
        <w:tc>
          <w:tcPr>
            <w:tcW w:type="dxa" w:w="25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.gitignore</w:t>
            </w:r>
          </w:p>
        </w:tc>
        <w:tc>
          <w:tcPr>
            <w:tcW w:type="dxa" w:w="12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r>
              <w:rPr>
                <w:rFonts w:ascii="Calibri" w:cs="Calibri" w:eastAsia="Calibri" w:hAnsi="Calibri"/>
                <w:b w:val="false"/>
                <w:bCs w:val="false"/>
                <w:sz w:val="18"/>
                <w:szCs w:val="18"/>
              </w:rPr>
              <w:t xml:space="preserve">Medium</w:t>
            </w:r>
          </w:p>
        </w:tc>
        <w:tc>
          <w:tcPr>
            <w:tcW w:type="dxa" w:w="383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Add a download script with the existing SHA-256 hashes</w:t>
            </w:r>
          </w:p>
        </w:tc>
      </w:tr>
    </w:tbl>
    <w:p>
      <w:pPr>
        <w:pStyle w:val="Heading1"/>
        <w:spacing w:after="160" w:before="360"/>
      </w:pPr>
      <w:r>
        <w:rPr>
          <w:rFonts w:ascii="Calibri" w:cs="Calibri" w:eastAsia="Calibri" w:hAnsi="Calibri"/>
        </w:rPr>
        <w:t xml:space="preserve">5. Phase 1: correct the base and prove localization</w:t>
      </w:r>
    </w:p>
    <w:p>
      <w:pPr>
        <w:spacing w:after="120" w:line="276"/>
      </w:pPr>
      <w:r>
        <w:rPr>
          <w:rFonts w:ascii="Calibri" w:cs="Calibri" w:eastAsia="Calibri" w:hAnsi="Calibri"/>
          <w:sz w:val="20"/>
          <w:szCs w:val="20"/>
        </w:rPr>
        <w:t xml:space="preserve">Phase 1 fixes every Critical and High mistake and produces the paper's main result: how often the system names the correct attacked component. Everything in Phase 2 depends on Phase 1's ground-truth table and root-cause output.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772"/>
        <w:gridCol w:w="2060"/>
        <w:gridCol w:w="772"/>
        <w:gridCol w:w="6437"/>
        <w:gridCol w:w="3090"/>
        <w:gridCol w:w="1547"/>
      </w:tblGrid>
      <w:tr>
        <w:trPr>
          <w:tblHeader/>
        </w:trPr>
        <w:tc>
          <w:tcPr>
            <w:tcW w:type="dxa" w:w="77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t>
            </w:r>
          </w:p>
        </w:tc>
        <w:tc>
          <w:tcPr>
            <w:tcW w:type="dxa" w:w="20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Task</w:t>
            </w:r>
          </w:p>
        </w:tc>
        <w:tc>
          <w:tcPr>
            <w:tcW w:type="dxa" w:w="77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Stage</w:t>
            </w:r>
          </w:p>
        </w:tc>
        <w:tc>
          <w:tcPr>
            <w:tcW w:type="dxa" w:w="643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What to do</w:t>
            </w:r>
          </w:p>
        </w:tc>
        <w:tc>
          <w:tcPr>
            <w:tcW w:type="dxa" w:w="309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Deliverable</w:t>
            </w:r>
          </w:p>
        </w:tc>
        <w:tc>
          <w:tcPr>
            <w:tcW w:type="dxa" w:w="154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Fixes</w:t>
            </w:r>
          </w:p>
        </w:tc>
      </w:tr>
      <w:tr>
        <w:tc>
          <w:tcPr>
            <w:tcW w:type="dxa" w:w="7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P1.1</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Attack ground-truth table</w:t>
            </w:r>
          </w:p>
        </w:tc>
        <w:tc>
          <w:tcPr>
            <w:tcW w:type="dxa" w:w="7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All</w:t>
            </w:r>
          </w:p>
        </w:tc>
        <w:tc>
          <w:tcPr>
            <w:tcW w:type="dxa" w:w="6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From Taormina et al. 2018, record for each of the 14 BATADAL attacks: start/end time, targeted component (tank, pump or valve), attack type (actuator change or sensor spoofing/concealment), DMA zone. Take it from the paper itself, not from memory</w:t>
            </w:r>
          </w:p>
        </w:tc>
        <w:tc>
          <w:tcPr>
            <w:tcW w:type="dxa" w:w="30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data/ground_truth_attacks.csv</w:t>
            </w:r>
          </w:p>
        </w:tc>
        <w:tc>
          <w:tcPr>
            <w:tcW w:type="dxa" w:w="15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Basis for I5, P1.4</w:t>
            </w:r>
          </w:p>
        </w:tc>
      </w:tr>
      <w:tr>
        <w:tc>
          <w:tcPr>
            <w:tcW w:type="dxa" w:w="7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P1.2</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Leakage-free detection with RF / XGBoost</w:t>
            </w:r>
          </w:p>
        </w:tc>
        <w:tc>
          <w:tcPr>
            <w:tcW w:type="dxa" w:w="7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6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Keep the designed RF and XGBoost. Split chronologically; fit scaler and SMOTE on training rows only; tune on a validation slice; report once on the BATADAL test set with published labels. Exclude −999 rows</w:t>
            </w:r>
          </w:p>
        </w:tc>
        <w:tc>
          <w:tcPr>
            <w:tcW w:type="dxa" w:w="30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Script in </w:t>
            </w:r>
            <w:r>
              <w:rPr>
                <w:rFonts w:ascii="Consolas" w:cs="Consolas" w:eastAsia="Consolas" w:hAnsi="Consolas"/>
                <w:b w:val="false"/>
                <w:bCs w:val="false"/>
                <w:sz w:val="16"/>
                <w:szCs w:val="16"/>
              </w:rPr>
              <w:t xml:space="preserve">src/detection/</w:t>
            </w:r>
            <w:r>
              <w:rPr>
                <w:rFonts w:ascii="Calibri" w:cs="Calibri" w:eastAsia="Calibri" w:hAnsi="Calibri"/>
                <w:b w:val="false"/>
                <w:bCs w:val="false"/>
                <w:sz w:val="18"/>
                <w:szCs w:val="18"/>
              </w:rPr>
              <w:t xml:space="preserve">, results with 5-seed mean ± std, per-attack detection rate and delay</w:t>
            </w:r>
          </w:p>
        </w:tc>
        <w:tc>
          <w:tcPr>
            <w:tcW w:type="dxa" w:w="15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D1–D6, I4, I5, I6</w:t>
            </w:r>
          </w:p>
        </w:tc>
      </w:tr>
      <w:tr>
        <w:tc>
          <w:tcPr>
            <w:tcW w:type="dxa" w:w="7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P1.3</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Real SHAP and LIME</w:t>
            </w:r>
          </w:p>
        </w:tc>
        <w:tc>
          <w:tcPr>
            <w:tcW w:type="dxa" w:w="7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2</w:t>
            </w:r>
          </w:p>
        </w:tc>
        <w:tc>
          <w:tcPr>
            <w:tcW w:type="dxa" w:w="6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shap.TreeExplainer</w:t>
            </w:r>
            <w:r>
              <w:rPr>
                <w:rFonts w:ascii="Calibri" w:cs="Calibri" w:eastAsia="Calibri" w:hAnsi="Calibri"/>
                <w:b w:val="false"/>
                <w:bCs w:val="false"/>
                <w:sz w:val="18"/>
                <w:szCs w:val="18"/>
              </w:rPr>
              <w:t xml:space="preserve"> for RF/XGBoost, </w:t>
            </w:r>
            <w:r>
              <w:rPr>
                <w:rFonts w:ascii="Consolas" w:cs="Consolas" w:eastAsia="Consolas" w:hAnsi="Consolas"/>
                <w:b w:val="false"/>
                <w:bCs w:val="false"/>
                <w:sz w:val="16"/>
                <w:szCs w:val="16"/>
              </w:rPr>
              <w:t xml:space="preserve">lime.LimeTabularExplainer</w:t>
            </w:r>
            <w:r>
              <w:rPr>
                <w:rFonts w:ascii="Calibri" w:cs="Calibri" w:eastAsia="Calibri" w:hAnsi="Calibri"/>
                <w:b w:val="false"/>
                <w:bCs w:val="false"/>
                <w:sz w:val="18"/>
                <w:szCs w:val="18"/>
              </w:rPr>
              <w:t xml:space="preserve">; top-K sensors per alert. Measure fidelity (remove top-K sensors, check the score falls), stability across seeds, and SHAP–LIME top-K agreement</w:t>
            </w:r>
          </w:p>
        </w:tc>
        <w:tc>
          <w:tcPr>
            <w:tcW w:type="dxa" w:w="30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src/explainability/</w:t>
            </w:r>
            <w:r>
              <w:rPr>
                <w:rFonts w:ascii="Calibri" w:cs="Calibri" w:eastAsia="Calibri" w:hAnsi="Calibri"/>
                <w:b w:val="false"/>
                <w:bCs w:val="false"/>
                <w:sz w:val="18"/>
                <w:szCs w:val="18"/>
              </w:rPr>
              <w:t xml:space="preserve">, explanation metrics table</w:t>
            </w:r>
          </w:p>
        </w:tc>
        <w:tc>
          <w:tcPr>
            <w:tcW w:type="dxa" w:w="15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I3</w:t>
            </w:r>
          </w:p>
        </w:tc>
      </w:tr>
      <w:tr>
        <w:tc>
          <w:tcPr>
            <w:tcW w:type="dxa" w:w="7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P1.4</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Root-cause algorithm</w:t>
            </w:r>
          </w:p>
        </w:tc>
        <w:tc>
          <w:tcPr>
            <w:tcW w:type="dxa" w:w="7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3</w:t>
            </w:r>
          </w:p>
        </w:tc>
        <w:tc>
          <w:tcPr>
            <w:tcW w:type="dxa" w:w="6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Make the graph directed using flow directions from a normal WNTR simulation. Rank controllable components (pumps, valves, tanks) by combining SHAP weight of the sensors they influence with graph distance — for example personalised PageRank on the reversed flow graph seeded with SHAP values</w:t>
            </w:r>
          </w:p>
        </w:tc>
        <w:tc>
          <w:tcPr>
            <w:tcW w:type="dxa" w:w="30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src/root_cause/</w:t>
            </w:r>
          </w:p>
        </w:tc>
        <w:tc>
          <w:tcPr>
            <w:tcW w:type="dxa" w:w="15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I1, I2</w:t>
            </w:r>
          </w:p>
        </w:tc>
      </w:tr>
      <w:tr>
        <w:tc>
          <w:tcPr>
            <w:tcW w:type="dxa" w:w="7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P1.5</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Localization evaluation</w:t>
            </w:r>
          </w:p>
        </w:tc>
        <w:tc>
          <w:tcPr>
            <w:tcW w:type="dxa" w:w="7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3</w:t>
            </w:r>
          </w:p>
        </w:tc>
        <w:tc>
          <w:tcPr>
            <w:tcW w:type="dxa" w:w="6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Compare the predicted component with P1.1 for each attack. Metrics: top-1 and top-3 component accuracy, zone accuracy, hop distance to the true component. Baselines: (a) largest raw deviation, (b) top SHAP sensor alone, (c) SHAP + graph (proposed). Report concealment attacks separately</w:t>
            </w:r>
          </w:p>
        </w:tc>
        <w:tc>
          <w:tcPr>
            <w:tcW w:type="dxa" w:w="30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Localization results table — the paper's central result</w:t>
            </w:r>
          </w:p>
        </w:tc>
        <w:tc>
          <w:tcPr>
            <w:tcW w:type="dxa" w:w="15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I1</w:t>
            </w:r>
          </w:p>
        </w:tc>
      </w:tr>
      <w:tr>
        <w:tc>
          <w:tcPr>
            <w:tcW w:type="dxa" w:w="7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P1.6</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Repository clean-up</w:t>
            </w:r>
          </w:p>
        </w:tc>
        <w:tc>
          <w:tcPr>
            <w:tcW w:type="dxa" w:w="7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w:t>
            </w:r>
          </w:p>
        </w:tc>
        <w:tc>
          <w:tcPr>
            <w:tcW w:type="dxa" w:w="6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Move final scoring from </w:t>
            </w:r>
            <w:r>
              <w:rPr>
                <w:rFonts w:ascii="Consolas" w:cs="Consolas" w:eastAsia="Consolas" w:hAnsi="Consolas"/>
                <w:b w:val="false"/>
                <w:bCs w:val="false"/>
                <w:sz w:val="16"/>
                <w:szCs w:val="16"/>
              </w:rPr>
              <w:t xml:space="preserve">scratch/</w:t>
            </w:r>
            <w:r>
              <w:rPr>
                <w:rFonts w:ascii="Calibri" w:cs="Calibri" w:eastAsia="Calibri" w:hAnsi="Calibri"/>
                <w:b w:val="false"/>
                <w:bCs w:val="false"/>
                <w:sz w:val="18"/>
                <w:szCs w:val="18"/>
              </w:rPr>
              <w:t xml:space="preserve"> into </w:t>
            </w:r>
            <w:r>
              <w:rPr>
                <w:rFonts w:ascii="Consolas" w:cs="Consolas" w:eastAsia="Consolas" w:hAnsi="Consolas"/>
                <w:b w:val="false"/>
                <w:bCs w:val="false"/>
                <w:sz w:val="16"/>
                <w:szCs w:val="16"/>
              </w:rPr>
              <w:t xml:space="preserve">src/</w:t>
            </w:r>
            <w:r>
              <w:rPr>
                <w:rFonts w:ascii="Calibri" w:cs="Calibri" w:eastAsia="Calibri" w:hAnsi="Calibri"/>
                <w:b w:val="false"/>
                <w:bCs w:val="false"/>
                <w:sz w:val="18"/>
                <w:szCs w:val="18"/>
              </w:rPr>
              <w:t xml:space="preserve">; regenerate results files; fix sensor-type counts; add a data download script with hashes; one command runs the pipeline</w:t>
            </w:r>
          </w:p>
        </w:tc>
        <w:tc>
          <w:tcPr>
            <w:tcW w:type="dxa" w:w="30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Reproducible repository</w:t>
            </w:r>
          </w:p>
        </w:tc>
        <w:tc>
          <w:tcPr>
            <w:tcW w:type="dxa" w:w="15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I9, I10, I11</w:t>
            </w:r>
          </w:p>
        </w:tc>
      </w:tr>
      <w:tr>
        <w:tc>
          <w:tcPr>
            <w:tcW w:type="dxa" w:w="7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P1.7</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Correct the design document</w:t>
            </w:r>
          </w:p>
        </w:tc>
        <w:tc>
          <w:tcPr>
            <w:tcW w:type="dxa" w:w="7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w:t>
            </w:r>
          </w:p>
        </w:tc>
        <w:tc>
          <w:tcPr>
            <w:tcW w:type="dxa" w:w="6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Remove Table 5 until reproduced; rewrite §1.5.4–1.5.5 for the new split; fix the traceability references</w:t>
            </w:r>
          </w:p>
        </w:tc>
        <w:tc>
          <w:tcPr>
            <w:tcW w:type="dxa" w:w="309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Revised design document</w:t>
            </w:r>
          </w:p>
        </w:tc>
        <w:tc>
          <w:tcPr>
            <w:tcW w:type="dxa" w:w="15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D1–D8</w:t>
            </w:r>
          </w:p>
        </w:tc>
      </w:tr>
    </w:tbl>
    <w:p>
      <w:pPr>
        <w:spacing w:after="120"/>
      </w:pPr>
    </w:p>
    <w:p>
      <w:pPr>
        <w:spacing w:after="120" w:line="276"/>
      </w:pPr>
      <w:r>
        <w:rPr>
          <w:rFonts w:ascii="Calibri" w:cs="Calibri" w:eastAsia="Calibri" w:hAnsi="Calibri"/>
          <w:sz w:val="20"/>
          <w:szCs w:val="20"/>
        </w:rPr>
        <w:t xml:space="preserve">Phase 1 exit check: if SHAP + graph does not beat the two baselines in P1.5, report that honestly and strengthen the root-cause method before moving on. A negative result here is still worth writing up, but it changes the paper's framing.</w:t>
      </w:r>
    </w:p>
    <w:p>
      <w:pPr>
        <w:spacing w:after="120" w:line="276"/>
      </w:pPr>
      <w:r>
        <w:rPr>
          <w:rFonts w:ascii="Calibri" w:cs="Calibri" w:eastAsia="Calibri" w:hAnsi="Calibri"/>
          <w:sz w:val="20"/>
          <w:szCs w:val="20"/>
        </w:rPr>
        <w:t xml:space="preserve">The existing forecasting GNN is kept as a second detector. Running P1.3–P1.5 on both detectors shows the framework works independently of the detector, which strengthens the paper. Its own fixes are I7 and I8.</w:t>
      </w:r>
    </w:p>
    <w:p>
      <w:pPr>
        <w:pStyle w:val="Heading1"/>
        <w:spacing w:after="160" w:before="360"/>
      </w:pPr>
      <w:r>
        <w:rPr>
          <w:rFonts w:ascii="Calibri" w:cs="Calibri" w:eastAsia="Calibri" w:hAnsi="Calibri"/>
        </w:rPr>
        <w:t xml:space="preserve">6. Phase 2: impact, recovery and scale</w:t>
      </w:r>
    </w:p>
    <w:p>
      <w:pPr>
        <w:spacing w:after="120" w:line="276"/>
      </w:pPr>
      <w:r>
        <w:rPr>
          <w:rFonts w:ascii="Calibri" w:cs="Calibri" w:eastAsia="Calibri" w:hAnsi="Calibri"/>
          <w:sz w:val="20"/>
          <w:szCs w:val="20"/>
        </w:rPr>
        <w:t xml:space="preserve">Phase 2 builds the CPIS and recovery stages exactly as designed, but computes them by hydraulic simulation and evaluates them against baselines. It also adds simulated attacks so that the localization result rests on more than 14 cases.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746"/>
        <w:gridCol w:w="2239"/>
        <w:gridCol w:w="746"/>
        <w:gridCol w:w="7463"/>
        <w:gridCol w:w="3484"/>
      </w:tblGrid>
      <w:tr>
        <w:trPr>
          <w:tblHeader/>
        </w:trPr>
        <w:tc>
          <w:tcPr>
            <w:tcW w:type="dxa" w:w="74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t>
            </w:r>
          </w:p>
        </w:tc>
        <w:tc>
          <w:tcPr>
            <w:tcW w:type="dxa" w:w="223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Task</w:t>
            </w:r>
          </w:p>
        </w:tc>
        <w:tc>
          <w:tcPr>
            <w:tcW w:type="dxa" w:w="74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Stage</w:t>
            </w:r>
          </w:p>
        </w:tc>
        <w:tc>
          <w:tcPr>
            <w:tcW w:type="dxa" w:w="746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What to do</w:t>
            </w:r>
          </w:p>
        </w:tc>
        <w:tc>
          <w:tcPr>
            <w:tcW w:type="dxa" w:w="348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Deliverable</w:t>
            </w:r>
          </w:p>
        </w:tc>
      </w:tr>
      <w:tr>
        <w:tc>
          <w:tcPr>
            <w:tcW w:type="dxa" w:w="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P2.1</w:t>
            </w:r>
          </w:p>
        </w:tc>
        <w:tc>
          <w:tcPr>
            <w:tcW w:type="dxa" w:w="22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CPIS by simulation</w:t>
            </w:r>
          </w:p>
        </w:tc>
        <w:tc>
          <w:tcPr>
            <w:tcW w:type="dxa" w:w="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4</w:t>
            </w:r>
          </w:p>
        </w:tc>
        <w:tc>
          <w:tcPr>
            <w:tcW w:type="dxa" w:w="746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Replay each attack's actuator states (</w:t>
            </w:r>
            <w:r>
              <w:rPr>
                <w:rFonts w:ascii="Consolas" w:cs="Consolas" w:eastAsia="Consolas" w:hAnsi="Consolas"/>
                <w:b w:val="false"/>
                <w:bCs w:val="false"/>
                <w:sz w:val="16"/>
                <w:szCs w:val="16"/>
              </w:rPr>
              <w:t xml:space="preserve">S_PU*</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S_V2</w:t>
            </w:r>
            <w:r>
              <w:rPr>
                <w:rFonts w:ascii="Calibri" w:cs="Calibri" w:eastAsia="Calibri" w:hAnsi="Calibri"/>
                <w:b w:val="false"/>
                <w:bCs w:val="false"/>
                <w:sz w:val="18"/>
                <w:szCs w:val="18"/>
              </w:rPr>
              <w:t xml:space="preserve">) in WNTR with pressure-dependent demand. Compare with the normal baseline: pressure deficit, unmet demand, tank depletion, zones affected. Combine into CPIS as designed</w:t>
            </w:r>
          </w:p>
        </w:tc>
        <w:tc>
          <w:tcPr>
            <w:tcW w:type="dxa" w:w="34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src/impact/</w:t>
            </w:r>
            <w:r>
              <w:rPr>
                <w:rFonts w:ascii="Calibri" w:cs="Calibri" w:eastAsia="Calibri" w:hAnsi="Calibri"/>
                <w:b w:val="false"/>
                <w:bCs w:val="false"/>
                <w:sz w:val="18"/>
                <w:szCs w:val="18"/>
              </w:rPr>
              <w:t xml:space="preserve">, CPIS and severity class for each attack</w:t>
            </w:r>
          </w:p>
        </w:tc>
      </w:tr>
      <w:tr>
        <w:tc>
          <w:tcPr>
            <w:tcW w:type="dxa" w:w="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P2.2</w:t>
            </w:r>
          </w:p>
        </w:tc>
        <w:tc>
          <w:tcPr>
            <w:tcW w:type="dxa" w:w="22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CPIS validation</w:t>
            </w:r>
          </w:p>
        </w:tc>
        <w:tc>
          <w:tcPr>
            <w:tcW w:type="dxa" w:w="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4</w:t>
            </w:r>
          </w:p>
        </w:tc>
        <w:tc>
          <w:tcPr>
            <w:tcW w:type="dxa" w:w="746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Do not hand-pick weights. Run a sensitivity analysis showing the severity ranking of attacks stays stable across reasonable weightings. Check rank correlation between CPIS and simulated unmet demand</w:t>
            </w:r>
          </w:p>
        </w:tc>
        <w:tc>
          <w:tcPr>
            <w:tcW w:type="dxa" w:w="34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Sensitivity figure, correlation value</w:t>
            </w:r>
          </w:p>
        </w:tc>
      </w:tr>
      <w:tr>
        <w:tc>
          <w:tcPr>
            <w:tcW w:type="dxa" w:w="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P2.3</w:t>
            </w:r>
          </w:p>
        </w:tc>
        <w:tc>
          <w:tcPr>
            <w:tcW w:type="dxa" w:w="22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Recovery candidates</w:t>
            </w:r>
          </w:p>
        </w:tc>
        <w:tc>
          <w:tcPr>
            <w:tcW w:type="dxa" w:w="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5</w:t>
            </w:r>
          </w:p>
        </w:tc>
        <w:tc>
          <w:tcPr>
            <w:tcW w:type="dxa" w:w="746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Generate actions from the P1.4 root-cause output: override or isolate the suspected component, switch to a redundant pump, reroute flow</w:t>
            </w:r>
          </w:p>
        </w:tc>
        <w:tc>
          <w:tcPr>
            <w:tcW w:type="dxa" w:w="34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val="false"/>
                <w:bCs w:val="false"/>
                <w:sz w:val="16"/>
                <w:szCs w:val="16"/>
              </w:rPr>
              <w:t xml:space="preserve">src/recovery/</w:t>
            </w:r>
          </w:p>
        </w:tc>
      </w:tr>
      <w:tr>
        <w:tc>
          <w:tcPr>
            <w:tcW w:type="dxa" w:w="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P2.4</w:t>
            </w:r>
          </w:p>
        </w:tc>
        <w:tc>
          <w:tcPr>
            <w:tcW w:type="dxa" w:w="22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Recovery simulation and ranking</w:t>
            </w:r>
          </w:p>
        </w:tc>
        <w:tc>
          <w:tcPr>
            <w:tcW w:type="dxa" w:w="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5</w:t>
            </w:r>
          </w:p>
        </w:tc>
        <w:tc>
          <w:tcPr>
            <w:tcW w:type="dxa" w:w="746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Simulate each candidate in WNTR from the detection time. Rank by unmet demand, pressure violations and time to restore. Baselines: no action, naively shutting the top-SHAP component, a random action</w:t>
            </w:r>
          </w:p>
        </w:tc>
        <w:tc>
          <w:tcPr>
            <w:tcW w:type="dxa" w:w="34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Recovery results: reduction in unmet demand versus no action</w:t>
            </w:r>
          </w:p>
        </w:tc>
      </w:tr>
      <w:tr>
        <w:tc>
          <w:tcPr>
            <w:tcW w:type="dxa" w:w="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P2.5</w:t>
            </w:r>
          </w:p>
        </w:tc>
        <w:tc>
          <w:tcPr>
            <w:tcW w:type="dxa" w:w="22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Simulated attack scenarios</w:t>
            </w:r>
          </w:p>
        </w:tc>
        <w:tc>
          <w:tcPr>
            <w:tcW w:type="dxa" w:w="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3–5</w:t>
            </w:r>
          </w:p>
        </w:tc>
        <w:tc>
          <w:tcPr>
            <w:tcW w:type="dxa" w:w="746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Generate 50–100 extra attacks on C-Town in WNTR with known targets, in the style of the epanetCPA toolbox (design-doc reference [10]). Vary target, attack type and duration. Re-run P1.5, P2.1 and P2.4 on them</w:t>
            </w:r>
          </w:p>
        </w:tc>
        <w:tc>
          <w:tcPr>
            <w:tcW w:type="dxa" w:w="34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Larger evaluation set; confidence intervals on all metrics</w:t>
            </w:r>
          </w:p>
        </w:tc>
      </w:tr>
      <w:tr>
        <w:tc>
          <w:tcPr>
            <w:tcW w:type="dxa" w:w="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P2.6</w:t>
            </w:r>
          </w:p>
        </w:tc>
        <w:tc>
          <w:tcPr>
            <w:tcW w:type="dxa" w:w="22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Dashboard integration</w:t>
            </w:r>
          </w:p>
        </w:tc>
        <w:tc>
          <w:tcPr>
            <w:tcW w:type="dxa" w:w="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6</w:t>
            </w:r>
          </w:p>
        </w:tc>
        <w:tc>
          <w:tcPr>
            <w:tcW w:type="dxa" w:w="746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Replace the placeholder root-cause, CPIS and recovery panels with the real module outputs. Remove demo-mode root cause based on the injected sensor</w:t>
            </w:r>
          </w:p>
        </w:tc>
        <w:tc>
          <w:tcPr>
            <w:tcW w:type="dxa" w:w="34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Updated dashboard; one end-to-end case-study figure</w:t>
            </w:r>
          </w:p>
        </w:tc>
      </w:tr>
      <w:tr>
        <w:tc>
          <w:tcPr>
            <w:tcW w:type="dxa" w:w="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P2.7</w:t>
            </w:r>
          </w:p>
        </w:tc>
        <w:tc>
          <w:tcPr>
            <w:tcW w:type="dxa" w:w="22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Paper writing</w:t>
            </w:r>
          </w:p>
        </w:tc>
        <w:tc>
          <w:tcPr>
            <w:tcW w:type="dxa" w:w="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w:t>
            </w:r>
          </w:p>
        </w:tc>
        <w:tc>
          <w:tcPr>
            <w:tcW w:type="dxa" w:w="746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Methods, results for each stage, limitations (simulation only, BATADAL hourly data)</w:t>
            </w:r>
          </w:p>
        </w:tc>
        <w:tc>
          <w:tcPr>
            <w:tcW w:type="dxa" w:w="34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Manuscript draft</w:t>
            </w:r>
          </w:p>
        </w:tc>
      </w:tr>
    </w:tbl>
    <w:p>
      <w:pPr>
        <w:spacing w:after="120"/>
      </w:pPr>
    </w:p>
    <w:p>
      <w:pPr>
        <w:spacing w:after="120" w:line="276"/>
      </w:pPr>
      <w:r>
        <w:rPr>
          <w:rFonts w:ascii="Calibri" w:cs="Calibri" w:eastAsia="Calibri" w:hAnsi="Calibri"/>
          <w:sz w:val="20"/>
          <w:szCs w:val="20"/>
        </w:rPr>
        <w:t xml:space="preserve">Phase 2 limitation to state in the paper: recovery is evaluated in simulation only, and BATADAL is synthetic EPANET data, not field measurements.</w:t>
      </w:r>
    </w:p>
    <w:p>
      <w:pPr>
        <w:pStyle w:val="Heading1"/>
        <w:spacing w:after="160" w:before="360"/>
      </w:pPr>
      <w:r>
        <w:rPr>
          <w:rFonts w:ascii="Calibri" w:cs="Calibri" w:eastAsia="Calibri" w:hAnsi="Calibri"/>
        </w:rPr>
        <w:t xml:space="preserve">7. Publication framing</w:t>
      </w:r>
    </w:p>
    <w:p>
      <w:pPr>
        <w:spacing w:after="120" w:line="276"/>
      </w:pPr>
      <w:r>
        <w:rPr>
          <w:rFonts w:ascii="Calibri" w:cs="Calibri" w:eastAsia="Calibri" w:hAnsi="Calibri"/>
          <w:sz w:val="20"/>
          <w:szCs w:val="20"/>
        </w:rPr>
        <w:t xml:space="preserve">The contribution is the post-detection pipeline, not the detector. Detection on BATADAL is already well studied, so a lower but honest detection score does not weaken the paper.</w:t>
      </w:r>
    </w:p>
    <w:p>
      <w:pPr>
        <w:spacing w:after="120" w:line="276"/>
      </w:pPr>
      <w:r>
        <w:rPr>
          <w:rFonts w:ascii="Calibri" w:cs="Calibri" w:eastAsia="Calibri" w:hAnsi="Calibri"/>
          <w:sz w:val="20"/>
          <w:szCs w:val="20"/>
        </w:rPr>
        <w:t xml:space="preserve">Proposed contributions:</w:t>
      </w:r>
    </w:p>
    <w:p>
      <w:pPr>
        <w:pStyle w:val="ListParagraph"/>
        <w:numPr>
          <w:ilvl w:val="0"/>
          <w:numId w:val="2"/>
        </w:numPr>
        <w:spacing w:after="80"/>
      </w:pPr>
      <w:r>
        <w:rPr>
          <w:rFonts w:ascii="Calibri" w:cs="Calibri" w:eastAsia="Calibri" w:hAnsi="Calibri"/>
          <w:sz w:val="20"/>
          <w:szCs w:val="20"/>
        </w:rPr>
        <w:t xml:space="preserve">A detector-independent pipeline that goes from an alert to the attacked component, the hydraulic impact and a ranked recovery action.</w:t>
      </w:r>
    </w:p>
    <w:p>
      <w:pPr>
        <w:pStyle w:val="ListParagraph"/>
        <w:numPr>
          <w:ilvl w:val="0"/>
          <w:numId w:val="2"/>
        </w:numPr>
        <w:spacing w:after="80"/>
      </w:pPr>
      <w:r>
        <w:rPr>
          <w:rFonts w:ascii="Calibri" w:cs="Calibri" w:eastAsia="Calibri" w:hAnsi="Calibri"/>
          <w:sz w:val="20"/>
          <w:szCs w:val="20"/>
        </w:rPr>
        <w:t xml:space="preserve">A graph-based root-cause method that combines explanation scores with the network's flow direction, evaluated against known attack targets, including concealment attacks.</w:t>
      </w:r>
    </w:p>
    <w:p>
      <w:pPr>
        <w:pStyle w:val="ListParagraph"/>
        <w:numPr>
          <w:ilvl w:val="0"/>
          <w:numId w:val="2"/>
        </w:numPr>
        <w:spacing w:after="80"/>
      </w:pPr>
      <w:r>
        <w:rPr>
          <w:rFonts w:ascii="Calibri" w:cs="Calibri" w:eastAsia="Calibri" w:hAnsi="Calibri"/>
          <w:sz w:val="20"/>
          <w:szCs w:val="20"/>
        </w:rPr>
        <w:t xml:space="preserve">A simulation-based impact score (CPIS) with a sensitivity analysis of its weights.</w:t>
      </w:r>
    </w:p>
    <w:p>
      <w:pPr>
        <w:pStyle w:val="ListParagraph"/>
        <w:numPr>
          <w:ilvl w:val="0"/>
          <w:numId w:val="2"/>
        </w:numPr>
        <w:spacing w:after="80"/>
      </w:pPr>
      <w:r>
        <w:rPr>
          <w:rFonts w:ascii="Calibri" w:cs="Calibri" w:eastAsia="Calibri" w:hAnsi="Calibri"/>
          <w:sz w:val="20"/>
          <w:szCs w:val="20"/>
        </w:rPr>
        <w:t xml:space="preserve">Recovery actions ranked by simulated service loss, compared with simple response baselines.</w:t>
      </w:r>
    </w:p>
    <w:p>
      <w:pPr>
        <w:spacing w:after="12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8806"/>
        <w:gridCol w:w="2935"/>
        <w:gridCol w:w="2937"/>
      </w:tblGrid>
      <w:tr>
        <w:trPr>
          <w:tblHeader/>
        </w:trPr>
        <w:tc>
          <w:tcPr>
            <w:tcW w:type="dxa" w:w="880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Requirement</w:t>
            </w:r>
          </w:p>
        </w:tc>
        <w:tc>
          <w:tcPr>
            <w:tcW w:type="dxa" w:w="293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Needed for publication</w:t>
            </w:r>
          </w:p>
        </w:tc>
        <w:tc>
          <w:tcPr>
            <w:tcW w:type="dxa" w:w="293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Strengthens the paper</w:t>
            </w:r>
          </w:p>
        </w:tc>
      </w:tr>
      <w:tr>
        <w:tc>
          <w:tcPr>
            <w:tcW w:type="dxa" w:w="8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Leakage-free detection on the labelled test set (P1.2)</w:t>
            </w:r>
          </w:p>
        </w:tc>
        <w:tc>
          <w:tcPr>
            <w:tcW w:type="dxa" w:w="29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2937"/>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8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Attack ground-truth table (P1.1)</w:t>
            </w:r>
          </w:p>
        </w:tc>
        <w:tc>
          <w:tcPr>
            <w:tcW w:type="dxa" w:w="29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2937"/>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8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Localization results against baselines (P1.5)</w:t>
            </w:r>
          </w:p>
        </w:tc>
        <w:tc>
          <w:tcPr>
            <w:tcW w:type="dxa" w:w="29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2937"/>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8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CPIS by simulation with sensitivity analysis (P2.1–P2.2)</w:t>
            </w:r>
          </w:p>
        </w:tc>
        <w:tc>
          <w:tcPr>
            <w:tcW w:type="dxa" w:w="29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2937"/>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8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Recovery ranking against baselines (P2.4)</w:t>
            </w:r>
          </w:p>
        </w:tc>
        <w:tc>
          <w:tcPr>
            <w:tcW w:type="dxa" w:w="29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c>
          <w:tcPr>
            <w:tcW w:type="dxa" w:w="2937"/>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8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Explanation fidelity and stability (P1.3)</w:t>
            </w:r>
          </w:p>
        </w:tc>
        <w:tc>
          <w:tcPr>
            <w:tcW w:type="dxa" w:w="293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9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r>
      <w:tr>
        <w:tc>
          <w:tcPr>
            <w:tcW w:type="dxa" w:w="8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Forecasting GNN as a second detector</w:t>
            </w:r>
          </w:p>
        </w:tc>
        <w:tc>
          <w:tcPr>
            <w:tcW w:type="dxa" w:w="293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9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r>
      <w:tr>
        <w:tc>
          <w:tcPr>
            <w:tcW w:type="dxa" w:w="8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Extra simulated attacks (P2.5)</w:t>
            </w:r>
          </w:p>
        </w:tc>
        <w:tc>
          <w:tcPr>
            <w:tcW w:type="dxa" w:w="293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9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r>
      <w:tr>
        <w:tc>
          <w:tcPr>
            <w:tcW w:type="dxa" w:w="88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Dashboard case-study figure (P2.6)</w:t>
            </w:r>
          </w:p>
        </w:tc>
        <w:tc>
          <w:tcPr>
            <w:tcW w:type="dxa" w:w="2935"/>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9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sz w:val="18"/>
                <w:szCs w:val="18"/>
              </w:rPr>
              <w:t xml:space="preserve">Yes</w:t>
            </w:r>
          </w:p>
        </w:tc>
      </w:tr>
    </w:tbl>
    <w:sectPr>
      <w:footerReference w:type="default" r:id="rId7"/>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X-Resilience-WDS review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36"/>
      <w:szCs w:val="36"/>
    </w:rPr>
  </w:style>
  <w:style w:type="paragraph" w:styleId="Heading1">
    <w:name w:val="Heading 1"/>
    <w:basedOn w:val="Normal"/>
    <w:next w:val="Normal"/>
    <w:qFormat/>
    <w:pPr>
      <w:outlineLvl w:val="0"/>
    </w:pPr>
    <w:rPr>
      <w:rFonts w:ascii="Calibri" w:cs="Calibri" w:eastAsia="Calibri" w:hAnsi="Calibri"/>
      <w:b/>
      <w:bCs/>
      <w:color w:val="1F3864"/>
      <w:sz w:val="28"/>
      <w:szCs w:val="28"/>
    </w:rPr>
  </w:style>
  <w:style w:type="paragraph" w:styleId="Heading2">
    <w:name w:val="Heading 2"/>
    <w:basedOn w:val="Normal"/>
    <w:next w:val="Normal"/>
    <w:qFormat/>
    <w:pPr>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8ekialnt1vl6fkj_uztk" Type="http://schemas.openxmlformats.org/officeDocument/2006/relationships/hyperlink" Target="https://github.com/dheeraj-2607/08-X-Resillience-WDS" TargetMode="External"/><Relationship Id="rIdcg67bmmllrvokiazecd2f" Type="http://schemas.openxmlformats.org/officeDocument/2006/relationships/hyperlink" Target="https://github.com/dheeraj-2607/08"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2026-10-14T04:57:24.348Z</dcterms:created>
  <dcterms:modified xsi:type="dcterms:W3CDTF">2026-10-14T04:57:24.348Z</dcterms:modified>
</cp:coreProperties>
</file>

<file path=docProps/custom.xml><?xml version="1.0" encoding="utf-8"?>
<Properties xmlns="http://schemas.openxmlformats.org/officeDocument/2006/custom-properties" xmlns:vt="http://schemas.openxmlformats.org/officeDocument/2006/docPropsVTypes"/>
</file>