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80"/>
        <w:jc w:val="center"/>
        <w:rPr>
          <w:lang w:val="en-US"/>
        </w:rPr>
      </w:pPr>
      <w:r>
        <w:rPr>
          <w:b/>
          <w:bCs/>
          <w:sz w:val="32"/>
          <w:szCs w:val="32"/>
          <w:lang w:val="en-US"/>
        </w:rPr>
        <w:t>HUI “AMALIE” SHI</w:t>
      </w:r>
      <w:r>
        <w:rPr>
          <w:sz w:val="32"/>
          <w:szCs w:val="32"/>
          <w:lang w:val="en-US"/>
        </w:rPr>
        <w:br/>
      </w:r>
      <w:r>
        <w:rPr>
          <w:sz w:val="20"/>
          <w:szCs w:val="20"/>
          <w:lang w:val="en-US"/>
        </w:rPr>
        <w:t xml:space="preserve">Oxford, UK | </w:t>
      </w:r>
      <w:hyperlink r:id="rId2">
        <w:r>
          <w:rPr>
            <w:rStyle w:val="Hyperlink"/>
            <w:sz w:val="20"/>
            <w:szCs w:val="20"/>
            <w:lang w:val="en-US"/>
          </w:rPr>
          <w:t>amalie.hui.shi@gmail.com</w:t>
        </w:r>
      </w:hyperlink>
      <w:r>
        <w:rPr>
          <w:sz w:val="20"/>
          <w:szCs w:val="20"/>
          <w:lang w:val="en-US"/>
        </w:rPr>
        <w:t xml:space="preserve"> | </w:t>
      </w:r>
      <w:hyperlink r:id="rId3">
        <w:r>
          <w:rPr>
            <w:rStyle w:val="Hyperlink"/>
            <w:sz w:val="20"/>
            <w:szCs w:val="20"/>
            <w:lang w:val="en-US"/>
          </w:rPr>
          <w:t>linkedin.com/in/amalieshi</w:t>
        </w:r>
      </w:hyperlink>
      <w:r>
        <w:rPr>
          <w:sz w:val="20"/>
          <w:szCs w:val="20"/>
          <w:lang w:val="en-US"/>
        </w:rPr>
        <w:t xml:space="preserve"> | </w:t>
      </w:r>
      <w:hyperlink r:id="rId4">
        <w:r>
          <w:rPr>
            <w:rStyle w:val="Hyperlink"/>
            <w:sz w:val="20"/>
            <w:szCs w:val="20"/>
            <w:lang w:val="en-US"/>
          </w:rPr>
          <w:t>amalieshi.github.io</w:t>
        </w:r>
      </w:hyperlink>
      <w:r>
        <w:rPr>
          <w:rFonts w:cs="Times New Roman" w:ascii="Times New Roman" w:hAnsi="Times New Roman"/>
          <w:sz w:val="20"/>
          <w:szCs w:val="20"/>
        </w:rPr>
        <w:t xml:space="preserve"> |  ORCID: </w:t>
      </w:r>
      <w:hyperlink r:id="rId5">
        <w:r>
          <w:rPr>
            <w:rStyle w:val="Hyperlink"/>
            <w:rFonts w:cs="Times New Roman" w:ascii="Times New Roman" w:hAnsi="Times New Roman"/>
            <w:sz w:val="20"/>
            <w:szCs w:val="20"/>
          </w:rPr>
          <w:t>0009-0001-2931-1414</w:t>
        </w:r>
      </w:hyperlink>
    </w:p>
    <w:p>
      <w:pPr>
        <w:pStyle w:val="Normal"/>
        <w:spacing w:lineRule="auto" w:line="240" w:before="0" w:after="8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PROFESSIONAL EXPERIENCE</w:t>
      </w:r>
    </w:p>
    <w:p>
      <w:pPr>
        <w:pStyle w:val="Normal"/>
        <w:spacing w:lineRule="auto" w:line="240" w:before="0" w:after="80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Software Engineer</w:t>
      </w:r>
      <w:r>
        <w:rPr>
          <w:sz w:val="20"/>
          <w:szCs w:val="20"/>
          <w:lang w:val="en-US"/>
        </w:rPr>
        <w:br/>
        <w:t xml:space="preserve">Adaptix Ltd. | Oct 2022 – Present </w:t>
      </w:r>
    </w:p>
    <w:p>
      <w:pPr>
        <w:pStyle w:val="Normal"/>
        <w:numPr>
          <w:ilvl w:val="0"/>
          <w:numId w:val="1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Architected and implemented 30+ test automation frameworks using Python, PyTest, Django, and PyWinAuto for medical device software and 3D imaging UI verification. </w:t>
      </w:r>
    </w:p>
    <w:p>
      <w:pPr>
        <w:pStyle w:val="Normal"/>
        <w:numPr>
          <w:ilvl w:val="0"/>
          <w:numId w:val="1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Performed software verification and validation (V&amp;V) for veterinary and orthopedic X-ray systems in compliance with IEC 62304 and other regulatory standards. </w:t>
      </w:r>
    </w:p>
    <w:p>
      <w:pPr>
        <w:pStyle w:val="Normal"/>
        <w:numPr>
          <w:ilvl w:val="0"/>
          <w:numId w:val="1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Developed and executed system, integration, and functional test procedures to increase test coverage and improve software quality for regulated healthcare products. </w:t>
      </w:r>
    </w:p>
    <w:p>
      <w:pPr>
        <w:pStyle w:val="Normal"/>
        <w:numPr>
          <w:ilvl w:val="0"/>
          <w:numId w:val="1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Authored test reports, documented defects, and partnered with cross-functional engineering teams to investigate and resolve 45+ software and hardware issues through troubleshooting and root cause analysis. </w:t>
      </w:r>
    </w:p>
    <w:p>
      <w:pPr>
        <w:pStyle w:val="Normal"/>
        <w:numPr>
          <w:ilvl w:val="0"/>
          <w:numId w:val="1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Automated high-volume UI workflows for image acquisition, reducing manual testing effort and accelerating release readiness.</w:t>
      </w:r>
    </w:p>
    <w:p>
      <w:pPr>
        <w:pStyle w:val="Normal"/>
        <w:spacing w:lineRule="auto" w:line="240" w:before="0" w:after="80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Software Applications Engineer</w:t>
      </w:r>
      <w:r>
        <w:rPr>
          <w:sz w:val="20"/>
          <w:szCs w:val="20"/>
          <w:lang w:val="en-US"/>
        </w:rPr>
        <w:br/>
        <w:t xml:space="preserve">Informetric Systems Inc. | Feb 2021 – Aug 2022 </w:t>
      </w:r>
    </w:p>
    <w:p>
      <w:pPr>
        <w:pStyle w:val="Normal"/>
        <w:numPr>
          <w:ilvl w:val="0"/>
          <w:numId w:val="2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Gathered and translated business and user requirements into configurable automation logic for pharmaceutical manufacturing software used in production environments. </w:t>
      </w:r>
    </w:p>
    <w:p>
      <w:pPr>
        <w:pStyle w:val="Normal"/>
        <w:numPr>
          <w:ilvl w:val="0"/>
          <w:numId w:val="2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Developed, tested, and validated software updates and hotfixes for InfoBatch and supported release management activities for InfoLog. </w:t>
      </w:r>
    </w:p>
    <w:p>
      <w:pPr>
        <w:pStyle w:val="Normal"/>
        <w:numPr>
          <w:ilvl w:val="0"/>
          <w:numId w:val="2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Built VM-based test environments, created installation packages with Advanced Installer, and designed automated test procedures to support software deployment and validation. </w:t>
      </w:r>
    </w:p>
    <w:p>
      <w:pPr>
        <w:pStyle w:val="Normal"/>
        <w:numPr>
          <w:ilvl w:val="0"/>
          <w:numId w:val="2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Investigated and resolved customer-facing software issues involving reporting, data transfer, and device integration, improving system uptime and user satisfaction. </w:t>
      </w:r>
    </w:p>
    <w:p>
      <w:pPr>
        <w:pStyle w:val="Normal"/>
        <w:numPr>
          <w:ilvl w:val="0"/>
          <w:numId w:val="2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Collaborated with software developers, QA, and client engineering teams on requirements analysis, testing, and production support.</w:t>
      </w:r>
    </w:p>
    <w:p>
      <w:pPr>
        <w:pStyle w:val="Normal"/>
        <w:spacing w:lineRule="auto" w:line="240" w:before="0" w:after="80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Pharmaceutical Engineer</w:t>
      </w:r>
      <w:r>
        <w:rPr>
          <w:sz w:val="20"/>
          <w:szCs w:val="20"/>
          <w:lang w:val="en-US"/>
        </w:rPr>
        <w:br/>
        <w:t xml:space="preserve">Aphena Pharma Solutions | Jan 2020 – Feb 2021 </w:t>
      </w:r>
    </w:p>
    <w:p>
      <w:pPr>
        <w:pStyle w:val="Normal"/>
        <w:numPr>
          <w:ilvl w:val="0"/>
          <w:numId w:val="3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Authored and executed 30+ validation protocols and reports for automated pharmaceutical manufacturing systems under FDA cGMP requirements. </w:t>
      </w:r>
    </w:p>
    <w:p>
      <w:pPr>
        <w:pStyle w:val="Normal"/>
        <w:numPr>
          <w:ilvl w:val="0"/>
          <w:numId w:val="3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Commissioned and qualified 8+ systems, including blending, labeling, serialization, and water purification equipment. </w:t>
      </w:r>
    </w:p>
    <w:p>
      <w:pPr>
        <w:pStyle w:val="Normal"/>
        <w:numPr>
          <w:ilvl w:val="0"/>
          <w:numId w:val="3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Supported process validation, equipment qualification, CAPA, and preventive maintenance activities to improve compliance, reliability, and operational efficiency. </w:t>
      </w:r>
    </w:p>
    <w:p>
      <w:pPr>
        <w:pStyle w:val="Normal"/>
        <w:numPr>
          <w:ilvl w:val="0"/>
          <w:numId w:val="3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Used data analysis and engineering methods to optimize 5+ manufacturing and laboratory processes.</w:t>
      </w:r>
    </w:p>
    <w:p>
      <w:pPr>
        <w:pStyle w:val="Normal"/>
        <w:spacing w:lineRule="auto" w:line="240" w:before="0" w:after="8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EDUCATION</w:t>
      </w:r>
    </w:p>
    <w:p>
      <w:pPr>
        <w:pStyle w:val="Normal"/>
        <w:spacing w:lineRule="auto" w:line="240" w:before="0" w:after="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Johns Hopkins University — M.S.E. in Biomedical Engineering, Dec 2019</w:t>
        <w:br/>
        <w:t>Georgia Institute of Technology — B.S. in Biomedical Engineering, Highest Honors, Dec 2016</w:t>
      </w:r>
    </w:p>
    <w:p>
      <w:pPr>
        <w:pStyle w:val="Normal"/>
        <w:spacing w:lineRule="auto" w:line="240" w:before="0" w:after="8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CERTIFICATIONS</w:t>
      </w:r>
    </w:p>
    <w:p>
      <w:pPr>
        <w:pStyle w:val="Normal"/>
        <w:spacing w:lineRule="auto" w:line="240" w:before="0" w:after="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PMP | ISTQB Certified Test Automation Engineer (CTAL-TAE) | ISTQB Certified Foundation Level 4.0 | Certified Six Sigma Yellow Belt (CSSYB) | Engineer-In-Training (EIT), Chemical Engineering</w:t>
      </w:r>
    </w:p>
    <w:p>
      <w:pPr>
        <w:pStyle w:val="Normal"/>
        <w:spacing w:lineRule="auto" w:line="240" w:before="0" w:after="8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SKILLS</w:t>
      </w:r>
    </w:p>
    <w:p>
      <w:pPr>
        <w:pStyle w:val="Normal"/>
        <w:spacing w:lineRule="auto" w:line="240" w:before="0" w:after="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Python, C#, PyTest, Django, PyTorch, SQL, HTML/CSS/Javascript, Git, Azure DevOps, Jira, Test Automation, Verification and Validation (V&amp;V), System Testing, Defect Tracking, Root Cause Analysis, Requirements Traceability, Medical Devices, IEC 62304, FDA cGMP</w:t>
      </w:r>
    </w:p>
    <w:p>
      <w:pPr>
        <w:pStyle w:val="Normal"/>
        <w:spacing w:lineRule="auto" w:line="240" w:before="0" w:after="8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SELECTED PUBLICATIONS</w:t>
      </w:r>
    </w:p>
    <w:p>
      <w:pPr>
        <w:pStyle w:val="Normal"/>
        <w:numPr>
          <w:ilvl w:val="0"/>
          <w:numId w:val="4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Building Scalable and Automated Verification Tools for Healthcare Imaging Systems</w:t>
      </w:r>
      <w:r>
        <w:rPr>
          <w:sz w:val="20"/>
          <w:szCs w:val="20"/>
          <w:lang w:val="en-US"/>
        </w:rPr>
        <w:t xml:space="preserve"> — Medical Informatics Europe, 2026 </w:t>
      </w:r>
    </w:p>
    <w:p>
      <w:pPr>
        <w:pStyle w:val="Normal"/>
        <w:numPr>
          <w:ilvl w:val="0"/>
          <w:numId w:val="4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The Ultimate Swiss Army Knife of UI Software Testing: Accelerating Workflow-Based Automation </w:t>
      </w:r>
      <w:r>
        <w:rPr>
          <w:sz w:val="20"/>
          <w:szCs w:val="20"/>
          <w:lang w:val="en-US"/>
        </w:rPr>
        <w:t xml:space="preserve">— Selenium Conference, 2025 </w:t>
      </w:r>
    </w:p>
    <w:p>
      <w:pPr>
        <w:pStyle w:val="Normal"/>
        <w:numPr>
          <w:ilvl w:val="0"/>
          <w:numId w:val="4"/>
        </w:numPr>
        <w:spacing w:lineRule="auto" w:line="240" w:before="0" w:after="80"/>
        <w:ind w:hanging="360" w:start="360"/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Performance Assessment of Texture Reproduction in High-Resolution CT</w:t>
      </w:r>
      <w:r>
        <w:rPr>
          <w:sz w:val="20"/>
          <w:szCs w:val="20"/>
          <w:lang w:val="en-US"/>
        </w:rPr>
        <w:t xml:space="preserve"> — SPIE Conference Proceedings, 2020</w:t>
      </w:r>
    </w:p>
    <w:sectPr>
      <w:type w:val="nextPage"/>
      <w:pgSz w:w="12240" w:h="15840"/>
      <w:pgMar w:left="720" w:right="720" w:gutter="0" w:header="0" w:top="576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" w:asciiTheme="minorHAnsi" w:cstheme="minorBidi" w:eastAsiaTheme="minorEastAsia" w:hAnsiTheme="minorHAns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等线" w:cs="" w:asciiTheme="minorHAnsi" w:cstheme="minorBidi" w:eastAsiaTheme="minorEastAsia" w:hAnsiTheme="minorHAnsi"/>
      <w:color w:val="auto"/>
      <w:kern w:val="2"/>
      <w:sz w:val="22"/>
      <w:szCs w:val="22"/>
      <w:lang w:val="en-GB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e6e"/>
    <w:pPr>
      <w:keepNext w:val="true"/>
      <w:keepLines/>
      <w:spacing w:before="360" w:after="80"/>
      <w:outlineLvl w:val="0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e6e"/>
    <w:pPr>
      <w:keepNext w:val="true"/>
      <w:keepLines/>
      <w:spacing w:before="160" w:after="80"/>
      <w:outlineLvl w:val="1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e6e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e6e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e6e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e6e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e6e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e6e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e6e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06e6e"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06e6e"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06e6e"/>
    <w:rPr>
      <w:rFonts w:eastAsia="等线 Light" w:cs="" w:cstheme="majorBidi" w:eastAsiaTheme="majorEastAsia"/>
      <w:color w:themeColor="accent1" w:themeShade="bf" w:val="2F5496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06e6e"/>
    <w:rPr>
      <w:rFonts w:eastAsia="等线 Light" w:cs="" w:cstheme="majorBidi" w:eastAsiaTheme="majorEastAsia"/>
      <w:i/>
      <w:iCs/>
      <w:color w:themeColor="accent1" w:themeShade="bf" w:val="2F5496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06e6e"/>
    <w:rPr>
      <w:rFonts w:eastAsia="等线 Light" w:cs="" w:cstheme="majorBidi" w:eastAsiaTheme="majorEastAsia"/>
      <w:color w:themeColor="accent1" w:themeShade="bf" w:val="2F5496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06e6e"/>
    <w:rPr>
      <w:rFonts w:eastAsia="等线 Light" w:cs="" w:cstheme="majorBidi" w:eastAsiaTheme="majorEastAsia"/>
      <w:i/>
      <w:iCs/>
      <w:color w:themeColor="text1" w:themeTint="a6" w:val="595959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06e6e"/>
    <w:rPr>
      <w:rFonts w:eastAsia="等线 Light" w:cs="" w:cstheme="majorBidi" w:eastAsiaTheme="majorEastAsia"/>
      <w:color w:themeColor="text1" w:themeTint="a6" w:val="595959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06e6e"/>
    <w:rPr>
      <w:rFonts w:eastAsia="等线 Light" w:cs="" w:cstheme="majorBidi" w:eastAsiaTheme="majorEastAsia"/>
      <w:i/>
      <w:iCs/>
      <w:color w:themeColor="text1" w:themeTint="d8" w:val="272727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06e6e"/>
    <w:rPr>
      <w:rFonts w:eastAsia="等线 Light" w:cs="" w:cstheme="majorBidi" w:eastAsiaTheme="majorEastAsia"/>
      <w:color w:themeColor="text1" w:themeTint="d8" w:val="272727"/>
      <w:lang w:val="en-GB"/>
    </w:rPr>
  </w:style>
  <w:style w:type="character" w:styleId="TitleChar" w:customStyle="1">
    <w:name w:val="Title Char"/>
    <w:basedOn w:val="DefaultParagraphFont"/>
    <w:link w:val="Title"/>
    <w:uiPriority w:val="10"/>
    <w:qFormat/>
    <w:rsid w:val="00506e6e"/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  <w:lang w:val="en-GB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06e6e"/>
    <w:rPr>
      <w:rFonts w:eastAsia="等线 Light" w:cs="" w:cstheme="majorBidi" w:eastAsiaTheme="majorEastAsia"/>
      <w:color w:themeColor="text1" w:themeTint="a6" w:val="595959"/>
      <w:spacing w:val="15"/>
      <w:sz w:val="28"/>
      <w:szCs w:val="28"/>
      <w:lang w:val="en-GB"/>
    </w:rPr>
  </w:style>
  <w:style w:type="character" w:styleId="QuoteChar" w:customStyle="1">
    <w:name w:val="Quote Char"/>
    <w:basedOn w:val="DefaultParagraphFont"/>
    <w:link w:val="Quote"/>
    <w:uiPriority w:val="29"/>
    <w:qFormat/>
    <w:rsid w:val="00506e6e"/>
    <w:rPr>
      <w:i/>
      <w:iCs/>
      <w:color w:themeColor="text1" w:themeTint="bf" w:val="404040"/>
      <w:lang w:val="en-GB"/>
    </w:rPr>
  </w:style>
  <w:style w:type="character" w:styleId="IntenseEmphasis">
    <w:name w:val="Intense Emphasis"/>
    <w:basedOn w:val="DefaultParagraphFont"/>
    <w:uiPriority w:val="21"/>
    <w:qFormat/>
    <w:rsid w:val="00506e6e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06e6e"/>
    <w:rPr>
      <w:i/>
      <w:iCs/>
      <w:color w:themeColor="accent1" w:themeShade="bf" w:val="2F5496"/>
      <w:lang w:val="en-GB"/>
    </w:rPr>
  </w:style>
  <w:style w:type="character" w:styleId="IntenseReference">
    <w:name w:val="Intense Reference"/>
    <w:basedOn w:val="DefaultParagraphFont"/>
    <w:uiPriority w:val="32"/>
    <w:qFormat/>
    <w:rsid w:val="00506e6e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506e6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06e6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f1365f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06e6e"/>
    <w:pPr>
      <w:spacing w:lineRule="auto" w:line="240" w:before="0" w:after="80"/>
      <w:contextualSpacing/>
    </w:pPr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e6e"/>
    <w:pPr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e6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06e6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06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malie.hui.shi@gmail.com" TargetMode="External"/><Relationship Id="rId3" Type="http://schemas.openxmlformats.org/officeDocument/2006/relationships/hyperlink" Target="https://www.linkedin.com/in/amalieshi/" TargetMode="External"/><Relationship Id="rId4" Type="http://schemas.openxmlformats.org/officeDocument/2006/relationships/hyperlink" Target="https://amalieshi.github.io/" TargetMode="External"/><Relationship Id="rId5" Type="http://schemas.openxmlformats.org/officeDocument/2006/relationships/hyperlink" Target="https://orcid.org/0009-0001-2931-1414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D6BFA-8E87-4C60-8EBE-54FC07C64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1</Pages>
  <Words>444</Words>
  <Characters>3051</Characters>
  <CharactersWithSpaces>3474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2026-04-22T12:57:00Z</dcterms:created>
  <dc:creator>Amalie Shi</dc:creator>
  <dc:description/>
  <dc:language>en-GB</dc:language>
  <cp:lastModifiedBy/>
  <dcterms:modified xsi:type="dcterms:W3CDTF">2026-08-10T11:14:18Z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