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Georgia" w:cs="Georgia" w:eastAsia="Georgia" w:hAnsi="Georgia"/>
          <w:b/>
          <w:bCs/>
          <w:color w:val="1B2A41"/>
          <w:sz w:val="40"/>
          <w:szCs w:val="40"/>
        </w:rPr>
        <w:t xml:space="preserve">THEMIS</w:t>
      </w:r>
    </w:p>
    <w:p>
      <w:pPr>
        <w:pBdr>
          <w:bottom w:val="single" w:color="C9A24B" w:sz="8" w:space="6"/>
        </w:pBdr>
        <w:spacing w:after="300"/>
        <w:jc w:val="center"/>
      </w:pPr>
      <w:r>
        <w:rPr>
          <w:rFonts w:ascii="Calibri" w:cs="Calibri" w:eastAsia="Calibri" w:hAnsi="Calibri"/>
          <w:i/>
          <w:iCs/>
          <w:color w:val="5B6570"/>
          <w:sz w:val="24"/>
          <w:szCs w:val="24"/>
        </w:rPr>
        <w:t xml:space="preserve">System Study (Feasibility Analysis)</w:t>
      </w:r>
    </w:p>
    <w:p>
      <w:pPr>
        <w:spacing w:after="180" w:line="300"/>
        <w:jc w:val="both"/>
      </w:pPr>
      <w:r>
        <w:rPr>
          <w:rFonts w:ascii="Calibri" w:cs="Calibri" w:eastAsia="Calibri" w:hAnsi="Calibri"/>
          <w:sz w:val="22"/>
          <w:szCs w:val="22"/>
        </w:rPr>
        <w:t xml:space="preserve">Before building Themis, the team studied whether the project was actually realistic to build — not just as an idea, but as something a three-person team could design, develop, and deliver within an academic timeline, using a stack the team already understood. This section walks through that study under five headings: technical, economic, operational, legal/regulatory, and schedule feasibility, and ends with the modules that came out of it.</w:t>
      </w:r>
    </w:p>
    <w:p>
      <w:pPr>
        <w:pStyle w:val="Heading1"/>
        <w:pBdr>
          <w:bottom w:val="single" w:color="C9A24B" w:sz="6" w:space="4"/>
        </w:pBdr>
        <w:spacing w:after="160" w:before="360"/>
      </w:pPr>
      <w:r>
        <w:rPr>
          <w:rFonts w:ascii="Georgia" w:cs="Georgia" w:eastAsia="Georgia" w:hAnsi="Georgia"/>
          <w:b/>
          <w:bCs/>
          <w:color w:val="1B2A41"/>
          <w:sz w:val="30"/>
          <w:szCs w:val="30"/>
        </w:rPr>
        <w:t xml:space="preserve">1. Technical Feasibility</w:t>
      </w:r>
    </w:p>
    <w:p>
      <w:pPr>
        <w:spacing w:after="180" w:line="300"/>
        <w:jc w:val="both"/>
      </w:pPr>
      <w:r>
        <w:rPr>
          <w:rFonts w:ascii="Calibri" w:cs="Calibri" w:eastAsia="Calibri" w:hAnsi="Calibri"/>
          <w:sz w:val="22"/>
          <w:szCs w:val="22"/>
        </w:rPr>
        <w:t xml:space="preserve">This section checks whether the chosen technologies can actually do what Themis needs them to do, and whether the team has the skills to use them.</w:t>
      </w:r>
    </w:p>
    <w:p>
      <w:pPr>
        <w:spacing w:after="180" w:line="300"/>
        <w:jc w:val="both"/>
      </w:pPr>
      <w:r>
        <w:rPr>
          <w:rFonts w:ascii="Calibri" w:cs="Calibri" w:eastAsia="Calibri" w:hAnsi="Calibri"/>
          <w:sz w:val="22"/>
          <w:szCs w:val="22"/>
        </w:rPr>
        <w:t xml:space="preserve">Themis uses:</w:t>
      </w:r>
    </w:p>
    <w:p>
      <w:pPr>
        <w:pStyle w:val="ListParagraph"/>
        <w:numPr>
          <w:ilvl w:val="0"/>
          <w:numId w:val="2"/>
        </w:numPr>
        <w:spacing w:after="90" w:line="280"/>
      </w:pPr>
      <w:r>
        <w:rPr>
          <w:rFonts w:ascii="Calibri" w:cs="Calibri" w:eastAsia="Calibri" w:hAnsi="Calibri"/>
          <w:sz w:val="22"/>
          <w:szCs w:val="22"/>
        </w:rPr>
        <w:t xml:space="preserve">FastAPI for the backend</w:t>
      </w:r>
    </w:p>
    <w:p>
      <w:pPr>
        <w:pStyle w:val="ListParagraph"/>
        <w:numPr>
          <w:ilvl w:val="0"/>
          <w:numId w:val="2"/>
        </w:numPr>
        <w:spacing w:after="90" w:line="280"/>
      </w:pPr>
      <w:r>
        <w:rPr>
          <w:rFonts w:ascii="Calibri" w:cs="Calibri" w:eastAsia="Calibri" w:hAnsi="Calibri"/>
          <w:sz w:val="22"/>
          <w:szCs w:val="22"/>
        </w:rPr>
        <w:t xml:space="preserve">Next.js for the frontend</w:t>
      </w:r>
    </w:p>
    <w:p>
      <w:pPr>
        <w:pStyle w:val="ListParagraph"/>
        <w:numPr>
          <w:ilvl w:val="0"/>
          <w:numId w:val="2"/>
        </w:numPr>
        <w:spacing w:after="90" w:line="280"/>
      </w:pPr>
      <w:r>
        <w:rPr>
          <w:rFonts w:ascii="Calibri" w:cs="Calibri" w:eastAsia="Calibri" w:hAnsi="Calibri"/>
          <w:sz w:val="22"/>
          <w:szCs w:val="22"/>
        </w:rPr>
        <w:t xml:space="preserve">PostgreSQL as the database</w:t>
      </w:r>
    </w:p>
    <w:p>
      <w:pPr>
        <w:pStyle w:val="ListParagraph"/>
        <w:numPr>
          <w:ilvl w:val="0"/>
          <w:numId w:val="2"/>
        </w:numPr>
        <w:spacing w:after="90" w:line="280"/>
      </w:pPr>
      <w:r>
        <w:rPr>
          <w:rFonts w:ascii="Calibri" w:cs="Calibri" w:eastAsia="Calibri" w:hAnsi="Calibri"/>
          <w:sz w:val="22"/>
          <w:szCs w:val="22"/>
        </w:rPr>
        <w:t xml:space="preserve">Celery + RabbitMQ for background/async tasks</w:t>
      </w:r>
    </w:p>
    <w:p>
      <w:pPr>
        <w:pStyle w:val="ListParagraph"/>
        <w:numPr>
          <w:ilvl w:val="0"/>
          <w:numId w:val="2"/>
        </w:numPr>
        <w:spacing w:after="90" w:line="280"/>
      </w:pPr>
      <w:r>
        <w:rPr>
          <w:rFonts w:ascii="Calibri" w:cs="Calibri" w:eastAsia="Calibri" w:hAnsi="Calibri"/>
          <w:sz w:val="22"/>
          <w:szCs w:val="22"/>
        </w:rPr>
        <w:t xml:space="preserve">MinIO for document storage (S3-compatible)</w:t>
      </w:r>
    </w:p>
    <w:p>
      <w:pPr>
        <w:spacing w:after="100" w:before="220"/>
      </w:pPr>
      <w:r>
        <w:rPr>
          <w:rFonts w:ascii="Calibri" w:cs="Calibri" w:eastAsia="Calibri" w:hAnsi="Calibri"/>
          <w:b/>
          <w:bCs/>
          <w:color w:val="1B2A41"/>
          <w:sz w:val="23"/>
          <w:szCs w:val="23"/>
        </w:rPr>
        <w:t xml:space="preserve">Why these were chosen:</w:t>
      </w:r>
    </w:p>
    <w:p>
      <w:pPr>
        <w:pStyle w:val="ListParagraph"/>
        <w:numPr>
          <w:ilvl w:val="0"/>
          <w:numId w:val="2"/>
        </w:numPr>
        <w:spacing w:after="90" w:line="280"/>
      </w:pPr>
      <w:r>
        <w:rPr>
          <w:rFonts w:ascii="Calibri" w:cs="Calibri" w:eastAsia="Calibri" w:hAnsi="Calibri"/>
          <w:sz w:val="22"/>
          <w:szCs w:val="22"/>
        </w:rPr>
        <w:t xml:space="preserve">FastAPI is async-friendly, which suits Themis because most of its work — searching legal knowledge, scoring assessments, generating documents — is I/O heavy rather than CPU heavy. It also auto-generates API documentation, which helps three developers stay in sync while building against the same backend.</w:t>
      </w:r>
    </w:p>
    <w:p>
      <w:pPr>
        <w:pStyle w:val="ListParagraph"/>
        <w:numPr>
          <w:ilvl w:val="0"/>
          <w:numId w:val="2"/>
        </w:numPr>
        <w:spacing w:after="90" w:line="280"/>
      </w:pPr>
      <w:r>
        <w:rPr>
          <w:rFonts w:ascii="Calibri" w:cs="Calibri" w:eastAsia="Calibri" w:hAnsi="Calibri"/>
          <w:sz w:val="22"/>
          <w:szCs w:val="22"/>
        </w:rPr>
        <w:t xml:space="preserve">Next.js handles routing and rendering out of the box, which saves time when building several separate dashboards (citizen, attorney, coordinator, admin) rather than one single interface.</w:t>
      </w:r>
    </w:p>
    <w:p>
      <w:pPr>
        <w:pStyle w:val="ListParagraph"/>
        <w:numPr>
          <w:ilvl w:val="0"/>
          <w:numId w:val="2"/>
        </w:numPr>
        <w:spacing w:after="90" w:line="280"/>
      </w:pPr>
      <w:r>
        <w:rPr>
          <w:rFonts w:ascii="Calibri" w:cs="Calibri" w:eastAsia="Calibri" w:hAnsi="Calibri"/>
          <w:sz w:val="22"/>
          <w:szCs w:val="22"/>
        </w:rPr>
        <w:t xml:space="preserve">PostgreSQL is a solid, well-supported relational database that fits the way Themis's data is structured — cases, users, documents, and hearings all relate to each other in fairly standard ways.</w:t>
      </w:r>
    </w:p>
    <w:p>
      <w:pPr>
        <w:pStyle w:val="ListParagraph"/>
        <w:numPr>
          <w:ilvl w:val="0"/>
          <w:numId w:val="2"/>
        </w:numPr>
        <w:spacing w:after="90" w:line="280"/>
      </w:pPr>
      <w:r>
        <w:rPr>
          <w:rFonts w:ascii="Calibri" w:cs="Calibri" w:eastAsia="Calibri" w:hAnsi="Calibri"/>
          <w:sz w:val="22"/>
          <w:szCs w:val="22"/>
        </w:rPr>
        <w:t xml:space="preserve">Celery + RabbitMQ move slow tasks like OCR and document generation off the main request cycle, so the app stays responsive even while heavier work happens in the background. Failed jobs are retried automatically.</w:t>
      </w:r>
    </w:p>
    <w:p>
      <w:pPr>
        <w:pStyle w:val="ListParagraph"/>
        <w:numPr>
          <w:ilvl w:val="0"/>
          <w:numId w:val="2"/>
        </w:numPr>
        <w:spacing w:after="90" w:line="280"/>
      </w:pPr>
      <w:r>
        <w:rPr>
          <w:rFonts w:ascii="Calibri" w:cs="Calibri" w:eastAsia="Calibri" w:hAnsi="Calibri"/>
          <w:sz w:val="22"/>
          <w:szCs w:val="22"/>
        </w:rPr>
        <w:t xml:space="preserve">MinIO gives signed, versioned file uploads without the team having to build that from scratch, and it can be self-hosted instead of depending on a specific cloud provider.</w:t>
      </w:r>
    </w:p>
    <w:p>
      <w:pPr>
        <w:spacing w:after="180" w:line="300"/>
        <w:jc w:val="both"/>
      </w:pPr>
      <w:r>
        <w:rPr>
          <w:rFonts w:ascii="Calibri" w:cs="Calibri" w:eastAsia="Calibri" w:hAnsi="Calibri"/>
          <w:sz w:val="22"/>
          <w:szCs w:val="22"/>
        </w:rPr>
        <w:t xml:space="preserve">All of these tools are open source, widely documented, and commonly used in real production systems — so the risk of getting stuck on unfamiliar or unstable technology is low. The team also already has working knowledge of Python and JavaScript/TypeScript, which made this stack a safer choice than something entirely new.</w:t>
      </w:r>
    </w:p>
    <w:p>
      <w:pPr>
        <w:spacing w:after="220" w:before="100"/>
        <w:jc w:val="both"/>
      </w:pPr>
      <w:r>
        <w:rPr>
          <w:rFonts w:ascii="Calibri" w:cs="Calibri" w:eastAsia="Calibri" w:hAnsi="Calibri"/>
          <w:b/>
          <w:bCs/>
          <w:i/>
          <w:iCs/>
          <w:color w:val="1B2A41"/>
          <w:sz w:val="22"/>
          <w:szCs w:val="22"/>
        </w:rPr>
        <w:t xml:space="preserve">Conclusion: </w:t>
      </w:r>
      <w:r>
        <w:rPr>
          <w:rFonts w:ascii="Calibri" w:cs="Calibri" w:eastAsia="Calibri" w:hAnsi="Calibri"/>
          <w:i/>
          <w:iCs/>
          <w:color w:val="5B6570"/>
          <w:sz w:val="22"/>
          <w:szCs w:val="22"/>
        </w:rPr>
        <w:t xml:space="preserve">The project is technically feasible — the tools fit the requirements, and the team has the skills to use them.</w:t>
      </w:r>
    </w:p>
    <w:p>
      <w:pPr>
        <w:pStyle w:val="Heading1"/>
        <w:pBdr>
          <w:bottom w:val="single" w:color="C9A24B" w:sz="6" w:space="4"/>
        </w:pBdr>
        <w:spacing w:after="160" w:before="360"/>
      </w:pPr>
      <w:r>
        <w:rPr>
          <w:rFonts w:ascii="Georgia" w:cs="Georgia" w:eastAsia="Georgia" w:hAnsi="Georgia"/>
          <w:b/>
          <w:bCs/>
          <w:color w:val="1B2A41"/>
          <w:sz w:val="30"/>
          <w:szCs w:val="30"/>
        </w:rPr>
        <w:t xml:space="preserve">2. Economic Feasibility</w:t>
      </w:r>
    </w:p>
    <w:p>
      <w:pPr>
        <w:spacing w:after="180" w:line="300"/>
        <w:jc w:val="both"/>
      </w:pPr>
      <w:r>
        <w:rPr>
          <w:rFonts w:ascii="Calibri" w:cs="Calibri" w:eastAsia="Calibri" w:hAnsi="Calibri"/>
          <w:sz w:val="22"/>
          <w:szCs w:val="22"/>
        </w:rPr>
        <w:t xml:space="preserve">This section checks whether the project can be built and run without unrealistic cost.</w:t>
      </w:r>
    </w:p>
    <w:p>
      <w:pPr>
        <w:spacing w:after="180" w:line="300"/>
        <w:jc w:val="both"/>
      </w:pPr>
      <w:r>
        <w:rPr>
          <w:rFonts w:ascii="Calibri" w:cs="Calibri" w:eastAsia="Calibri" w:hAnsi="Calibri"/>
          <w:sz w:val="22"/>
          <w:szCs w:val="22"/>
        </w:rPr>
        <w:t xml:space="preserve">Every tool in the stack is free and open source, so there are no licensing costs during development. For deployment, everything can run in Docker containers on a single low-cost server or a modest cloud instance, since the project doesn't need to support large-scale traffic yet. If Themis were ever taken beyond an academic prototype, the main ongoing cost would be hosting and storage — and both of these scale up gradually with usage rather than needing a big upfront investment.</w:t>
      </w:r>
    </w:p>
    <w:p>
      <w:pPr>
        <w:spacing w:after="220" w:before="100"/>
        <w:jc w:val="both"/>
      </w:pPr>
      <w:r>
        <w:rPr>
          <w:rFonts w:ascii="Calibri" w:cs="Calibri" w:eastAsia="Calibri" w:hAnsi="Calibri"/>
          <w:b/>
          <w:bCs/>
          <w:i/>
          <w:iCs/>
          <w:color w:val="1B2A41"/>
          <w:sz w:val="22"/>
          <w:szCs w:val="22"/>
        </w:rPr>
        <w:t xml:space="preserve">Conclusion: </w:t>
      </w:r>
      <w:r>
        <w:rPr>
          <w:rFonts w:ascii="Calibri" w:cs="Calibri" w:eastAsia="Calibri" w:hAnsi="Calibri"/>
          <w:i/>
          <w:iCs/>
          <w:color w:val="5B6570"/>
          <w:sz w:val="22"/>
          <w:szCs w:val="22"/>
        </w:rPr>
        <w:t xml:space="preserve">The project is economically feasible at the scale required.</w:t>
      </w:r>
    </w:p>
    <w:p>
      <w:pPr>
        <w:pStyle w:val="Heading1"/>
        <w:pBdr>
          <w:bottom w:val="single" w:color="C9A24B" w:sz="6" w:space="4"/>
        </w:pBdr>
        <w:spacing w:after="160" w:before="360"/>
      </w:pPr>
      <w:r>
        <w:rPr>
          <w:rFonts w:ascii="Georgia" w:cs="Georgia" w:eastAsia="Georgia" w:hAnsi="Georgia"/>
          <w:b/>
          <w:bCs/>
          <w:color w:val="1B2A41"/>
          <w:sz w:val="30"/>
          <w:szCs w:val="30"/>
        </w:rPr>
        <w:t xml:space="preserve">3. Operational Feasibility</w:t>
      </w:r>
    </w:p>
    <w:p>
      <w:pPr>
        <w:spacing w:after="180" w:line="300"/>
        <w:jc w:val="both"/>
      </w:pPr>
      <w:r>
        <w:rPr>
          <w:rFonts w:ascii="Calibri" w:cs="Calibri" w:eastAsia="Calibri" w:hAnsi="Calibri"/>
          <w:sz w:val="22"/>
          <w:szCs w:val="22"/>
        </w:rPr>
        <w:t xml:space="preserve">This section checks whether people would actually use Themis, and whether it fits how they already try to solve legal problems.</w:t>
      </w:r>
    </w:p>
    <w:p>
      <w:pPr>
        <w:spacing w:after="180" w:line="300"/>
        <w:jc w:val="both"/>
      </w:pPr>
      <w:r>
        <w:rPr>
          <w:rFonts w:ascii="Calibri" w:cs="Calibri" w:eastAsia="Calibri" w:hAnsi="Calibri"/>
          <w:sz w:val="22"/>
          <w:szCs w:val="22"/>
        </w:rPr>
        <w:t xml:space="preserve">Looking at each user group:</w:t>
      </w:r>
    </w:p>
    <w:p>
      <w:pPr>
        <w:pStyle w:val="ListParagraph"/>
        <w:numPr>
          <w:ilvl w:val="0"/>
          <w:numId w:val="2"/>
        </w:numPr>
        <w:spacing w:after="90" w:line="280"/>
      </w:pPr>
      <w:r>
        <w:rPr>
          <w:rFonts w:ascii="Calibri" w:cs="Calibri" w:eastAsia="Calibri" w:hAnsi="Calibri"/>
          <w:b/>
          <w:bCs/>
          <w:sz w:val="22"/>
          <w:szCs w:val="22"/>
        </w:rPr>
        <w:t xml:space="preserve">Citizens: </w:t>
      </w:r>
      <w:r>
        <w:rPr>
          <w:rFonts w:ascii="Calibri" w:cs="Calibri" w:eastAsia="Calibri" w:hAnsi="Calibri"/>
          <w:sz w:val="22"/>
          <w:szCs w:val="22"/>
        </w:rPr>
        <w:t xml:space="preserve">Citizens usually have to either draft legal documents themselves or pay someone to do basic drafting. Themis's guided assessment and auto-generated documents remove that step instead of adding a new one.</w:t>
      </w:r>
    </w:p>
    <w:p>
      <w:pPr>
        <w:pStyle w:val="ListParagraph"/>
        <w:numPr>
          <w:ilvl w:val="0"/>
          <w:numId w:val="2"/>
        </w:numPr>
        <w:spacing w:after="90" w:line="280"/>
      </w:pPr>
      <w:r>
        <w:rPr>
          <w:rFonts w:ascii="Calibri" w:cs="Calibri" w:eastAsia="Calibri" w:hAnsi="Calibri"/>
          <w:b/>
          <w:bCs/>
          <w:sz w:val="22"/>
          <w:szCs w:val="22"/>
        </w:rPr>
        <w:t xml:space="preserve">Attorneys: </w:t>
      </w:r>
      <w:r>
        <w:rPr>
          <w:rFonts w:ascii="Calibri" w:cs="Calibri" w:eastAsia="Calibri" w:hAnsi="Calibri"/>
          <w:sz w:val="22"/>
          <w:szCs w:val="22"/>
        </w:rPr>
        <w:t xml:space="preserve">Attorneys currently juggle case files and communication across different tools or paper. Having case data, documents, and hearing dates in one place reduces their coordination work rather than increasing it.</w:t>
      </w:r>
    </w:p>
    <w:p>
      <w:pPr>
        <w:pStyle w:val="ListParagraph"/>
        <w:numPr>
          <w:ilvl w:val="0"/>
          <w:numId w:val="2"/>
        </w:numPr>
        <w:spacing w:after="90" w:line="280"/>
      </w:pPr>
      <w:r>
        <w:rPr>
          <w:rFonts w:ascii="Calibri" w:cs="Calibri" w:eastAsia="Calibri" w:hAnsi="Calibri"/>
          <w:b/>
          <w:bCs/>
          <w:sz w:val="22"/>
          <w:szCs w:val="22"/>
        </w:rPr>
        <w:t xml:space="preserve">Coordinators: </w:t>
      </w:r>
      <w:r>
        <w:rPr>
          <w:rFonts w:ascii="Calibri" w:cs="Calibri" w:eastAsia="Calibri" w:hAnsi="Calibri"/>
          <w:sz w:val="22"/>
          <w:szCs w:val="22"/>
        </w:rPr>
        <w:t xml:space="preserve">Coordinators need a way to verify attorneys and balance caseloads. A single verification queue and caseload view replaces manual tracking.</w:t>
      </w:r>
    </w:p>
    <w:p>
      <w:pPr>
        <w:spacing w:after="180" w:line="300"/>
        <w:jc w:val="both"/>
      </w:pPr>
      <w:r>
        <w:rPr>
          <w:rFonts w:ascii="Calibri" w:cs="Calibri" w:eastAsia="Calibri" w:hAnsi="Calibri"/>
          <w:sz w:val="22"/>
          <w:szCs w:val="22"/>
        </w:rPr>
        <w:t xml:space="preserve">The interface also supports this: plain language instead of legal jargon, one question at a time in the assessment, and a visual case timeline so citizens can see progress without needing to understand legal procedure.</w:t>
      </w:r>
    </w:p>
    <w:p>
      <w:pPr>
        <w:spacing w:after="220" w:before="100"/>
        <w:jc w:val="both"/>
      </w:pPr>
      <w:r>
        <w:rPr>
          <w:rFonts w:ascii="Calibri" w:cs="Calibri" w:eastAsia="Calibri" w:hAnsi="Calibri"/>
          <w:b/>
          <w:bCs/>
          <w:i/>
          <w:iCs/>
          <w:color w:val="1B2A41"/>
          <w:sz w:val="22"/>
          <w:szCs w:val="22"/>
        </w:rPr>
        <w:t xml:space="preserve">Conclusion: </w:t>
      </w:r>
      <w:r>
        <w:rPr>
          <w:rFonts w:ascii="Calibri" w:cs="Calibri" w:eastAsia="Calibri" w:hAnsi="Calibri"/>
          <w:i/>
          <w:iCs/>
          <w:color w:val="5B6570"/>
          <w:sz w:val="22"/>
          <w:szCs w:val="22"/>
        </w:rPr>
        <w:t xml:space="preserve">Themis changes how a task is done, not what the task is — which makes it easy for people to actually adopt.</w:t>
      </w:r>
    </w:p>
    <w:p>
      <w:pPr>
        <w:pStyle w:val="Heading1"/>
        <w:pBdr>
          <w:bottom w:val="single" w:color="C9A24B" w:sz="6" w:space="4"/>
        </w:pBdr>
        <w:spacing w:after="160" w:before="360"/>
      </w:pPr>
      <w:r>
        <w:rPr>
          <w:rFonts w:ascii="Georgia" w:cs="Georgia" w:eastAsia="Georgia" w:hAnsi="Georgia"/>
          <w:b/>
          <w:bCs/>
          <w:color w:val="1B2A41"/>
          <w:sz w:val="30"/>
          <w:szCs w:val="30"/>
        </w:rPr>
        <w:t xml:space="preserve">4. Legal and Regulatory Feasibility</w:t>
      </w:r>
    </w:p>
    <w:p>
      <w:pPr>
        <w:spacing w:after="180" w:line="300"/>
        <w:jc w:val="both"/>
      </w:pPr>
      <w:r>
        <w:rPr>
          <w:rFonts w:ascii="Calibri" w:cs="Calibri" w:eastAsia="Calibri" w:hAnsi="Calibri"/>
          <w:sz w:val="22"/>
          <w:szCs w:val="22"/>
        </w:rPr>
        <w:t xml:space="preserve">Because Themis stores legal case data, personal identity documents, and case communication, this section checks whether it can be built responsibly and in line with expected data-handling standards.</w:t>
      </w:r>
    </w:p>
    <w:p>
      <w:pPr>
        <w:pStyle w:val="ListParagraph"/>
        <w:numPr>
          <w:ilvl w:val="0"/>
          <w:numId w:val="2"/>
        </w:numPr>
        <w:spacing w:after="90" w:line="280"/>
      </w:pPr>
      <w:r>
        <w:rPr>
          <w:rFonts w:ascii="Calibri" w:cs="Calibri" w:eastAsia="Calibri" w:hAnsi="Calibri"/>
          <w:sz w:val="22"/>
          <w:szCs w:val="22"/>
        </w:rPr>
        <w:t xml:space="preserve">Documents are encrypted at rest and in transit.</w:t>
      </w:r>
    </w:p>
    <w:p>
      <w:pPr>
        <w:pStyle w:val="ListParagraph"/>
        <w:numPr>
          <w:ilvl w:val="0"/>
          <w:numId w:val="2"/>
        </w:numPr>
        <w:spacing w:after="90" w:line="280"/>
      </w:pPr>
      <w:r>
        <w:rPr>
          <w:rFonts w:ascii="Calibri" w:cs="Calibri" w:eastAsia="Calibri" w:hAnsi="Calibri"/>
          <w:sz w:val="22"/>
          <w:szCs w:val="22"/>
        </w:rPr>
        <w:t xml:space="preserve">Uploads are cryptographically signed.</w:t>
      </w:r>
    </w:p>
    <w:p>
      <w:pPr>
        <w:pStyle w:val="ListParagraph"/>
        <w:numPr>
          <w:ilvl w:val="0"/>
          <w:numId w:val="2"/>
        </w:numPr>
        <w:spacing w:after="90" w:line="280"/>
      </w:pPr>
      <w:r>
        <w:rPr>
          <w:rFonts w:ascii="Calibri" w:cs="Calibri" w:eastAsia="Calibri" w:hAnsi="Calibri"/>
          <w:sz w:val="22"/>
          <w:szCs w:val="22"/>
        </w:rPr>
        <w:t xml:space="preserve">Every document access or change is recorded in an immutable audit log.</w:t>
      </w:r>
    </w:p>
    <w:p>
      <w:pPr>
        <w:pStyle w:val="ListParagraph"/>
        <w:numPr>
          <w:ilvl w:val="0"/>
          <w:numId w:val="2"/>
        </w:numPr>
        <w:spacing w:after="90" w:line="280"/>
      </w:pPr>
      <w:r>
        <w:rPr>
          <w:rFonts w:ascii="Calibri" w:cs="Calibri" w:eastAsia="Calibri" w:hAnsi="Calibri"/>
          <w:sz w:val="22"/>
          <w:szCs w:val="22"/>
        </w:rPr>
        <w:t xml:space="preserve">Access is role-based, so attorneys only see cases assigned to them, and coordinators only see verification and caseload data, not raw case content.</w:t>
      </w:r>
    </w:p>
    <w:p>
      <w:pPr>
        <w:pStyle w:val="ListParagraph"/>
        <w:numPr>
          <w:ilvl w:val="0"/>
          <w:numId w:val="2"/>
        </w:numPr>
        <w:spacing w:after="90" w:line="280"/>
      </w:pPr>
      <w:r>
        <w:rPr>
          <w:rFonts w:ascii="Calibri" w:cs="Calibri" w:eastAsia="Calibri" w:hAnsi="Calibri"/>
          <w:sz w:val="22"/>
          <w:szCs w:val="22"/>
        </w:rPr>
        <w:t xml:space="preserve">Only bar-council-verified attorneys are shown to citizens, through the verification engine.</w:t>
      </w:r>
    </w:p>
    <w:p>
      <w:pPr>
        <w:spacing w:after="180" w:line="300"/>
        <w:jc w:val="both"/>
      </w:pPr>
      <w:r>
        <w:rPr>
          <w:rFonts w:ascii="Calibri" w:cs="Calibri" w:eastAsia="Calibri" w:hAnsi="Calibri"/>
          <w:sz w:val="22"/>
          <w:szCs w:val="22"/>
        </w:rPr>
        <w:t xml:space="preserve">Themis is not a licensed legal service and does not replace advice from a qualified advocate — but its data protections are in line with what a platform handling sensitive legal information would be expected to have.</w:t>
      </w:r>
    </w:p>
    <w:p>
      <w:pPr>
        <w:spacing w:after="220" w:before="100"/>
        <w:jc w:val="both"/>
      </w:pPr>
      <w:r>
        <w:rPr>
          <w:rFonts w:ascii="Calibri" w:cs="Calibri" w:eastAsia="Calibri" w:hAnsi="Calibri"/>
          <w:b/>
          <w:bCs/>
          <w:i/>
          <w:iCs/>
          <w:color w:val="1B2A41"/>
          <w:sz w:val="22"/>
          <w:szCs w:val="22"/>
        </w:rPr>
        <w:t xml:space="preserve">Conclusion: </w:t>
      </w:r>
      <w:r>
        <w:rPr>
          <w:rFonts w:ascii="Calibri" w:cs="Calibri" w:eastAsia="Calibri" w:hAnsi="Calibri"/>
          <w:i/>
          <w:iCs/>
          <w:color w:val="5B6570"/>
          <w:sz w:val="22"/>
          <w:szCs w:val="22"/>
        </w:rPr>
        <w:t xml:space="preserve">The project is legally feasible as a legal-aid support tool, provided it stays within these safeguards.</w:t>
      </w:r>
    </w:p>
    <w:p>
      <w:pPr>
        <w:pStyle w:val="Heading1"/>
        <w:pBdr>
          <w:bottom w:val="single" w:color="C9A24B" w:sz="6" w:space="4"/>
        </w:pBdr>
        <w:spacing w:after="160" w:before="360"/>
      </w:pPr>
      <w:r>
        <w:rPr>
          <w:rFonts w:ascii="Georgia" w:cs="Georgia" w:eastAsia="Georgia" w:hAnsi="Georgia"/>
          <w:b/>
          <w:bCs/>
          <w:color w:val="1B2A41"/>
          <w:sz w:val="30"/>
          <w:szCs w:val="30"/>
        </w:rPr>
        <w:t xml:space="preserve">5. Schedule Feasibility</w:t>
      </w:r>
    </w:p>
    <w:p>
      <w:pPr>
        <w:spacing w:after="180" w:line="300"/>
        <w:jc w:val="both"/>
      </w:pPr>
      <w:r>
        <w:rPr>
          <w:rFonts w:ascii="Calibri" w:cs="Calibri" w:eastAsia="Calibri" w:hAnsi="Calibri"/>
          <w:sz w:val="22"/>
          <w:szCs w:val="22"/>
        </w:rPr>
        <w:t xml:space="preserve">This section checks whether the work can realistically be finished on time by three people.</w:t>
      </w:r>
    </w:p>
    <w:p>
      <w:pPr>
        <w:spacing w:after="180" w:line="300"/>
        <w:jc w:val="both"/>
      </w:pPr>
      <w:r>
        <w:rPr>
          <w:rFonts w:ascii="Calibri" w:cs="Calibri" w:eastAsia="Calibri" w:hAnsi="Calibri"/>
          <w:sz w:val="22"/>
          <w:szCs w:val="22"/>
        </w:rPr>
        <w:t xml:space="preserve">The three modules identified below map directly onto each team member's individual area of ownership, so frontend, backend, and document/OCR/case-management work can move forward in parallel rather than one person waiting on another. Shared work — Docker setup, CI/CD, integration, migration review, and testing — is kept separate from individual ownership so it doesn't get missed.</w:t>
      </w:r>
    </w:p>
    <w:p>
      <w:pPr>
        <w:spacing w:after="220" w:before="100"/>
        <w:jc w:val="both"/>
      </w:pPr>
      <w:r>
        <w:rPr>
          <w:rFonts w:ascii="Calibri" w:cs="Calibri" w:eastAsia="Calibri" w:hAnsi="Calibri"/>
          <w:b/>
          <w:bCs/>
          <w:i/>
          <w:iCs/>
          <w:color w:val="1B2A41"/>
          <w:sz w:val="22"/>
          <w:szCs w:val="22"/>
        </w:rPr>
        <w:t xml:space="preserve">Conclusion: </w:t>
      </w:r>
      <w:r>
        <w:rPr>
          <w:rFonts w:ascii="Calibri" w:cs="Calibri" w:eastAsia="Calibri" w:hAnsi="Calibri"/>
          <w:i/>
          <w:iCs/>
          <w:color w:val="5B6570"/>
          <w:sz w:val="22"/>
          <w:szCs w:val="22"/>
        </w:rPr>
        <w:t xml:space="preserve">The project is schedule-feasible, as long as the API and database schema are agreed on early so the three modules can be built side by side.</w:t>
      </w:r>
    </w:p>
    <w:p>
      <w:pPr>
        <w:pStyle w:val="Heading1"/>
        <w:pBdr>
          <w:bottom w:val="single" w:color="C9A24B" w:sz="6" w:space="4"/>
        </w:pBdr>
        <w:spacing w:after="160" w:before="360"/>
      </w:pPr>
      <w:r>
        <w:rPr>
          <w:rFonts w:ascii="Georgia" w:cs="Georgia" w:eastAsia="Georgia" w:hAnsi="Georgia"/>
          <w:b/>
          <w:bCs/>
          <w:color w:val="1B2A41"/>
          <w:sz w:val="30"/>
          <w:szCs w:val="30"/>
        </w:rPr>
        <w:t xml:space="preserve">6. Modules Identified</w:t>
      </w:r>
    </w:p>
    <w:p>
      <w:pPr>
        <w:spacing w:after="180" w:line="300"/>
        <w:jc w:val="both"/>
      </w:pPr>
      <w:r>
        <w:rPr>
          <w:rFonts w:ascii="Calibri" w:cs="Calibri" w:eastAsia="Calibri" w:hAnsi="Calibri"/>
          <w:sz w:val="22"/>
          <w:szCs w:val="22"/>
        </w:rPr>
        <w:t xml:space="preserve">Based on the above study, Themis is organized into three core modules plus shared, cross-cutting work.</w:t>
      </w:r>
    </w:p>
    <w:p>
      <w:pPr>
        <w:pStyle w:val="Heading2"/>
        <w:spacing w:after="120" w:before="280"/>
      </w:pPr>
      <w:r>
        <w:rPr>
          <w:rFonts w:ascii="Georgia" w:cs="Georgia" w:eastAsia="Georgia" w:hAnsi="Georgia"/>
          <w:b/>
          <w:bCs/>
          <w:color w:val="1B2A41"/>
          <w:sz w:val="25"/>
          <w:szCs w:val="25"/>
        </w:rPr>
        <w:t xml:space="preserve">6.1 Frontend Dashboard Module — Owned by Abiya John</w:t>
      </w:r>
    </w:p>
    <w:p>
      <w:pPr>
        <w:spacing w:after="180" w:line="300"/>
        <w:jc w:val="both"/>
      </w:pPr>
      <w:r>
        <w:rPr>
          <w:rFonts w:ascii="Calibri" w:cs="Calibri" w:eastAsia="Calibri" w:hAnsi="Calibri"/>
          <w:sz w:val="22"/>
          <w:szCs w:val="22"/>
        </w:rPr>
        <w:t xml:space="preserve">Handles everything citizens and attorneys interact with directly.</w:t>
      </w:r>
    </w:p>
    <w:p>
      <w:pPr>
        <w:pStyle w:val="ListParagraph"/>
        <w:numPr>
          <w:ilvl w:val="0"/>
          <w:numId w:val="2"/>
        </w:numPr>
        <w:spacing w:after="90" w:line="280"/>
      </w:pPr>
      <w:r>
        <w:rPr>
          <w:rFonts w:ascii="Calibri" w:cs="Calibri" w:eastAsia="Calibri" w:hAnsi="Calibri"/>
          <w:sz w:val="22"/>
          <w:szCs w:val="22"/>
        </w:rPr>
        <w:t xml:space="preserve">Citizen dashboard centered on the Case Journey Timeline</w:t>
      </w:r>
    </w:p>
    <w:p>
      <w:pPr>
        <w:pStyle w:val="ListParagraph"/>
        <w:numPr>
          <w:ilvl w:val="0"/>
          <w:numId w:val="2"/>
        </w:numPr>
        <w:spacing w:after="90" w:line="280"/>
      </w:pPr>
      <w:r>
        <w:rPr>
          <w:rFonts w:ascii="Calibri" w:cs="Calibri" w:eastAsia="Calibri" w:hAnsi="Calibri"/>
          <w:sz w:val="22"/>
          <w:szCs w:val="22"/>
        </w:rPr>
        <w:t xml:space="preserve">Guided assessment flow, one plain-language question at a time</w:t>
      </w:r>
    </w:p>
    <w:p>
      <w:pPr>
        <w:pStyle w:val="ListParagraph"/>
        <w:numPr>
          <w:ilvl w:val="0"/>
          <w:numId w:val="2"/>
        </w:numPr>
        <w:spacing w:after="90" w:line="280"/>
      </w:pPr>
      <w:r>
        <w:rPr>
          <w:rFonts w:ascii="Calibri" w:cs="Calibri" w:eastAsia="Calibri" w:hAnsi="Calibri"/>
          <w:sz w:val="22"/>
          <w:szCs w:val="22"/>
        </w:rPr>
        <w:t xml:space="preserve">Document upload interface with OCR status shown live</w:t>
      </w:r>
    </w:p>
    <w:p>
      <w:pPr>
        <w:pStyle w:val="ListParagraph"/>
        <w:numPr>
          <w:ilvl w:val="0"/>
          <w:numId w:val="2"/>
        </w:numPr>
        <w:spacing w:after="90" w:line="280"/>
      </w:pPr>
      <w:r>
        <w:rPr>
          <w:rFonts w:ascii="Calibri" w:cs="Calibri" w:eastAsia="Calibri" w:hAnsi="Calibri"/>
          <w:sz w:val="22"/>
          <w:szCs w:val="22"/>
        </w:rPr>
        <w:t xml:space="preserve">Attorney case-management view with filterable, sortable case lists</w:t>
      </w:r>
    </w:p>
    <w:p>
      <w:pPr>
        <w:pStyle w:val="ListParagraph"/>
        <w:numPr>
          <w:ilvl w:val="0"/>
          <w:numId w:val="2"/>
        </w:numPr>
        <w:spacing w:after="90" w:line="280"/>
      </w:pPr>
      <w:r>
        <w:rPr>
          <w:rFonts w:ascii="Calibri" w:cs="Calibri" w:eastAsia="Calibri" w:hAnsi="Calibri"/>
          <w:sz w:val="22"/>
          <w:szCs w:val="22"/>
        </w:rPr>
        <w:t xml:space="preserve">Responsive layouts for both citizen-facing and professional-facing screens</w:t>
      </w:r>
    </w:p>
    <w:p>
      <w:pPr>
        <w:pStyle w:val="Heading2"/>
        <w:spacing w:after="120" w:before="280"/>
      </w:pPr>
      <w:r>
        <w:rPr>
          <w:rFonts w:ascii="Georgia" w:cs="Georgia" w:eastAsia="Georgia" w:hAnsi="Georgia"/>
          <w:b/>
          <w:bCs/>
          <w:color w:val="1B2A41"/>
          <w:sz w:val="25"/>
          <w:szCs w:val="25"/>
        </w:rPr>
        <w:t xml:space="preserve">6.2 Backend API Module — Owned by A R Devadathan</w:t>
      </w:r>
    </w:p>
    <w:p>
      <w:pPr>
        <w:spacing w:after="180" w:line="300"/>
        <w:jc w:val="both"/>
      </w:pPr>
      <w:r>
        <w:rPr>
          <w:rFonts w:ascii="Calibri" w:cs="Calibri" w:eastAsia="Calibri" w:hAnsi="Calibri"/>
          <w:sz w:val="22"/>
          <w:szCs w:val="22"/>
        </w:rPr>
        <w:t xml:space="preserve">Handles the core server logic that everything else depends on.</w:t>
      </w:r>
    </w:p>
    <w:p>
      <w:pPr>
        <w:pStyle w:val="ListParagraph"/>
        <w:numPr>
          <w:ilvl w:val="0"/>
          <w:numId w:val="2"/>
        </w:numPr>
        <w:spacing w:after="90" w:line="280"/>
      </w:pPr>
      <w:r>
        <w:rPr>
          <w:rFonts w:ascii="Calibri" w:cs="Calibri" w:eastAsia="Calibri" w:hAnsi="Calibri"/>
          <w:sz w:val="22"/>
          <w:szCs w:val="22"/>
        </w:rPr>
        <w:t xml:space="preserve">Role-based authentication and authorization (Citizen, Attorney, Coordinator, Administrator)</w:t>
      </w:r>
    </w:p>
    <w:p>
      <w:pPr>
        <w:pStyle w:val="ListParagraph"/>
        <w:numPr>
          <w:ilvl w:val="0"/>
          <w:numId w:val="2"/>
        </w:numPr>
        <w:spacing w:after="90" w:line="280"/>
      </w:pPr>
      <w:r>
        <w:rPr>
          <w:rFonts w:ascii="Calibri" w:cs="Calibri" w:eastAsia="Calibri" w:hAnsi="Calibri"/>
          <w:sz w:val="22"/>
          <w:szCs w:val="22"/>
        </w:rPr>
        <w:t xml:space="preserve">REST API for legal knowledge search, assessments, and case data</w:t>
      </w:r>
    </w:p>
    <w:p>
      <w:pPr>
        <w:pStyle w:val="ListParagraph"/>
        <w:numPr>
          <w:ilvl w:val="0"/>
          <w:numId w:val="2"/>
        </w:numPr>
        <w:spacing w:after="90" w:line="280"/>
      </w:pPr>
      <w:r>
        <w:rPr>
          <w:rFonts w:ascii="Calibri" w:cs="Calibri" w:eastAsia="Calibri" w:hAnsi="Calibri"/>
          <w:sz w:val="22"/>
          <w:szCs w:val="22"/>
        </w:rPr>
        <w:t xml:space="preserve">Database schema design and Alembic migrations</w:t>
      </w:r>
    </w:p>
    <w:p>
      <w:pPr>
        <w:pStyle w:val="ListParagraph"/>
        <w:numPr>
          <w:ilvl w:val="0"/>
          <w:numId w:val="2"/>
        </w:numPr>
        <w:spacing w:after="90" w:line="280"/>
      </w:pPr>
      <w:r>
        <w:rPr>
          <w:rFonts w:ascii="Calibri" w:cs="Calibri" w:eastAsia="Calibri" w:hAnsi="Calibri"/>
          <w:sz w:val="22"/>
          <w:szCs w:val="22"/>
        </w:rPr>
        <w:t xml:space="preserve">Celery task orchestration for background jobs</w:t>
      </w:r>
    </w:p>
    <w:p>
      <w:pPr>
        <w:pStyle w:val="ListParagraph"/>
        <w:numPr>
          <w:ilvl w:val="0"/>
          <w:numId w:val="2"/>
        </w:numPr>
        <w:spacing w:after="90" w:line="280"/>
      </w:pPr>
      <w:r>
        <w:rPr>
          <w:rFonts w:ascii="Calibri" w:cs="Calibri" w:eastAsia="Calibri" w:hAnsi="Calibri"/>
          <w:sz w:val="22"/>
          <w:szCs w:val="22"/>
        </w:rPr>
        <w:t xml:space="preserve">Core logic linking assessment answers to recommended actions and generated documents</w:t>
      </w:r>
    </w:p>
    <w:p>
      <w:pPr>
        <w:pStyle w:val="Heading2"/>
        <w:spacing w:after="120" w:before="280"/>
      </w:pPr>
      <w:r>
        <w:rPr>
          <w:rFonts w:ascii="Georgia" w:cs="Georgia" w:eastAsia="Georgia" w:hAnsi="Georgia"/>
          <w:b/>
          <w:bCs/>
          <w:color w:val="1B2A41"/>
          <w:sz w:val="25"/>
          <w:szCs w:val="25"/>
        </w:rPr>
        <w:t xml:space="preserve">6.3 Document, OCR &amp; Case Management Engine — Owned by Amal K R</w:t>
      </w:r>
    </w:p>
    <w:p>
      <w:pPr>
        <w:spacing w:after="180" w:line="300"/>
        <w:jc w:val="both"/>
      </w:pPr>
      <w:r>
        <w:rPr>
          <w:rFonts w:ascii="Calibri" w:cs="Calibri" w:eastAsia="Calibri" w:hAnsi="Calibri"/>
          <w:sz w:val="22"/>
          <w:szCs w:val="22"/>
        </w:rPr>
        <w:t xml:space="preserve">Handles documents, OCR, and case/attorney matching.</w:t>
      </w:r>
    </w:p>
    <w:p>
      <w:pPr>
        <w:pStyle w:val="ListParagraph"/>
        <w:numPr>
          <w:ilvl w:val="0"/>
          <w:numId w:val="2"/>
        </w:numPr>
        <w:spacing w:after="90" w:line="280"/>
      </w:pPr>
      <w:r>
        <w:rPr>
          <w:rFonts w:ascii="Calibri" w:cs="Calibri" w:eastAsia="Calibri" w:hAnsi="Calibri"/>
          <w:sz w:val="22"/>
          <w:szCs w:val="22"/>
        </w:rPr>
        <w:t xml:space="preserve">Signed, versioned uploads to MinIO</w:t>
      </w:r>
    </w:p>
    <w:p>
      <w:pPr>
        <w:pStyle w:val="ListParagraph"/>
        <w:numPr>
          <w:ilvl w:val="0"/>
          <w:numId w:val="2"/>
        </w:numPr>
        <w:spacing w:after="90" w:line="280"/>
      </w:pPr>
      <w:r>
        <w:rPr>
          <w:rFonts w:ascii="Calibri" w:cs="Calibri" w:eastAsia="Calibri" w:hAnsi="Calibri"/>
          <w:sz w:val="22"/>
          <w:szCs w:val="22"/>
        </w:rPr>
        <w:t xml:space="preserve">Asynchronous OCR pipeline for scanned documents</w:t>
      </w:r>
    </w:p>
    <w:p>
      <w:pPr>
        <w:pStyle w:val="ListParagraph"/>
        <w:numPr>
          <w:ilvl w:val="0"/>
          <w:numId w:val="2"/>
        </w:numPr>
        <w:spacing w:after="90" w:line="280"/>
      </w:pPr>
      <w:r>
        <w:rPr>
          <w:rFonts w:ascii="Calibri" w:cs="Calibri" w:eastAsia="Calibri" w:hAnsi="Calibri"/>
          <w:sz w:val="22"/>
          <w:szCs w:val="22"/>
        </w:rPr>
        <w:t xml:space="preserve">Auto-generation of editable complaints and RTI applications</w:t>
      </w:r>
    </w:p>
    <w:p>
      <w:pPr>
        <w:pStyle w:val="ListParagraph"/>
        <w:numPr>
          <w:ilvl w:val="0"/>
          <w:numId w:val="2"/>
        </w:numPr>
        <w:spacing w:after="90" w:line="280"/>
      </w:pPr>
      <w:r>
        <w:rPr>
          <w:rFonts w:ascii="Calibri" w:cs="Calibri" w:eastAsia="Calibri" w:hAnsi="Calibri"/>
          <w:sz w:val="22"/>
          <w:szCs w:val="22"/>
        </w:rPr>
        <w:t xml:space="preserve">Attorney-matching engine based on case type, jurisdiction, and availability</w:t>
      </w:r>
    </w:p>
    <w:p>
      <w:pPr>
        <w:pStyle w:val="ListParagraph"/>
        <w:numPr>
          <w:ilvl w:val="0"/>
          <w:numId w:val="2"/>
        </w:numPr>
        <w:spacing w:after="90" w:line="280"/>
      </w:pPr>
      <w:r>
        <w:rPr>
          <w:rFonts w:ascii="Calibri" w:cs="Calibri" w:eastAsia="Calibri" w:hAnsi="Calibri"/>
          <w:sz w:val="22"/>
          <w:szCs w:val="22"/>
        </w:rPr>
        <w:t xml:space="preserve">Hearing and milestone tracking with automated reminders</w:t>
      </w:r>
    </w:p>
    <w:p>
      <w:pPr>
        <w:pStyle w:val="Heading2"/>
        <w:spacing w:after="120" w:before="280"/>
      </w:pPr>
      <w:r>
        <w:rPr>
          <w:rFonts w:ascii="Georgia" w:cs="Georgia" w:eastAsia="Georgia" w:hAnsi="Georgia"/>
          <w:b/>
          <w:bCs/>
          <w:color w:val="1B2A41"/>
          <w:sz w:val="25"/>
          <w:szCs w:val="25"/>
        </w:rPr>
        <w:t xml:space="preserve">6.4 Shared Responsibilities</w:t>
      </w:r>
    </w:p>
    <w:p>
      <w:pPr>
        <w:spacing w:after="180" w:line="300"/>
        <w:jc w:val="both"/>
      </w:pPr>
      <w:r>
        <w:rPr>
          <w:rFonts w:ascii="Calibri" w:cs="Calibri" w:eastAsia="Calibri" w:hAnsi="Calibri"/>
          <w:sz w:val="22"/>
          <w:szCs w:val="22"/>
        </w:rPr>
        <w:t xml:space="preserve">Work that affects the whole system and is owned jointly rather than by one person:</w:t>
      </w:r>
    </w:p>
    <w:p>
      <w:pPr>
        <w:pStyle w:val="ListParagraph"/>
        <w:numPr>
          <w:ilvl w:val="0"/>
          <w:numId w:val="2"/>
        </w:numPr>
        <w:spacing w:after="90" w:line="280"/>
      </w:pPr>
      <w:r>
        <w:rPr>
          <w:rFonts w:ascii="Calibri" w:cs="Calibri" w:eastAsia="Calibri" w:hAnsi="Calibri"/>
          <w:sz w:val="22"/>
          <w:szCs w:val="22"/>
        </w:rPr>
        <w:t xml:space="preserve">Docker Compose configuration</w:t>
      </w:r>
    </w:p>
    <w:p>
      <w:pPr>
        <w:pStyle w:val="ListParagraph"/>
        <w:numPr>
          <w:ilvl w:val="0"/>
          <w:numId w:val="2"/>
        </w:numPr>
        <w:spacing w:after="90" w:line="280"/>
      </w:pPr>
      <w:r>
        <w:rPr>
          <w:rFonts w:ascii="Calibri" w:cs="Calibri" w:eastAsia="Calibri" w:hAnsi="Calibri"/>
          <w:sz w:val="22"/>
          <w:szCs w:val="22"/>
        </w:rPr>
        <w:t xml:space="preserve">CI/CD pipeline</w:t>
      </w:r>
    </w:p>
    <w:p>
      <w:pPr>
        <w:pStyle w:val="ListParagraph"/>
        <w:numPr>
          <w:ilvl w:val="0"/>
          <w:numId w:val="2"/>
        </w:numPr>
        <w:spacing w:after="90" w:line="280"/>
      </w:pPr>
      <w:r>
        <w:rPr>
          <w:rFonts w:ascii="Calibri" w:cs="Calibri" w:eastAsia="Calibri" w:hAnsi="Calibri"/>
          <w:sz w:val="22"/>
          <w:szCs w:val="22"/>
        </w:rPr>
        <w:t xml:space="preserve">Integration across the three modules</w:t>
      </w:r>
    </w:p>
    <w:p>
      <w:pPr>
        <w:pStyle w:val="ListParagraph"/>
        <w:numPr>
          <w:ilvl w:val="0"/>
          <w:numId w:val="2"/>
        </w:numPr>
        <w:spacing w:after="90" w:line="280"/>
      </w:pPr>
      <w:r>
        <w:rPr>
          <w:rFonts w:ascii="Calibri" w:cs="Calibri" w:eastAsia="Calibri" w:hAnsi="Calibri"/>
          <w:sz w:val="22"/>
          <w:szCs w:val="22"/>
        </w:rPr>
        <w:t xml:space="preserve">Review of database migrations</w:t>
      </w:r>
    </w:p>
    <w:p>
      <w:pPr>
        <w:pStyle w:val="ListParagraph"/>
        <w:numPr>
          <w:ilvl w:val="0"/>
          <w:numId w:val="2"/>
        </w:numPr>
        <w:spacing w:after="90" w:line="280"/>
      </w:pPr>
      <w:r>
        <w:rPr>
          <w:rFonts w:ascii="Calibri" w:cs="Calibri" w:eastAsia="Calibri" w:hAnsi="Calibri"/>
          <w:sz w:val="22"/>
          <w:szCs w:val="22"/>
        </w:rPr>
        <w:t xml:space="preserve">Testing and deployment</w:t>
      </w:r>
    </w:p>
    <w:p>
      <w:pPr>
        <w:spacing w:after="180" w:line="300"/>
        <w:jc w:val="both"/>
      </w:pPr>
      <w:r>
        <w:rPr>
          <w:rFonts w:ascii="Calibri" w:cs="Calibri" w:eastAsia="Calibri" w:hAnsi="Calibri"/>
          <w:sz w:val="22"/>
          <w:szCs w:val="22"/>
        </w:rPr>
        <w:t xml:space="preserve">Overall, this feasibility study shows Themis is realistic to build with the team's current skills and timeline, doesn't need major financial investment, fits naturally into how citizens, attorneys, and coordinators already work, and can be built with the data protections expected of a platform handling sensitive legal information.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2026-07-27T14:00:41.332Z</dcterms:created>
  <dcterms:modified xsi:type="dcterms:W3CDTF">2026-07-27T14:00:41.388Z</dcterms:modified>
</cp:coreProperties>
</file>

<file path=docProps/custom.xml><?xml version="1.0" encoding="utf-8"?>
<Properties xmlns="http://schemas.openxmlformats.org/officeDocument/2006/custom-properties" xmlns:vt="http://schemas.openxmlformats.org/officeDocument/2006/docPropsVTypes"/>
</file>