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0728" w:rsidRDefault="00C00728" w:rsidP="00C00728">
      <w:pPr>
        <w:rPr>
          <w:i/>
          <w:iCs/>
        </w:rPr>
      </w:pPr>
      <w:r w:rsidRPr="00C00728">
        <w:rPr>
          <w:i/>
          <w:iCs/>
        </w:rPr>
        <w:t>The board has appointed a new CFO with 20 years of experience in corporate finance.</w:t>
      </w:r>
    </w:p>
    <w:p w:rsidR="00C00728" w:rsidRPr="00C00728" w:rsidRDefault="00C00728" w:rsidP="00C00728">
      <w:r w:rsidRPr="00C00728">
        <w:rPr>
          <w:i/>
          <w:iCs/>
        </w:rPr>
        <w:t>The firm operates across three business segments: energy, manufacturing, and logistics.</w:t>
      </w:r>
    </w:p>
    <w:p w:rsidR="00C00728" w:rsidRPr="00C00728" w:rsidRDefault="00C00728" w:rsidP="00C00728">
      <w:r w:rsidRPr="00C00728">
        <w:rPr>
          <w:i/>
          <w:iCs/>
        </w:rPr>
        <w:t>Trading volume remained steady throughout the week, with no major announcements.</w:t>
      </w:r>
    </w:p>
    <w:p w:rsidR="00C00728" w:rsidRPr="00C00728" w:rsidRDefault="00C00728" w:rsidP="00C00728">
      <w:r w:rsidRPr="00C00728">
        <w:rPr>
          <w:i/>
          <w:iCs/>
        </w:rPr>
        <w:t>Investors reacted negatively to the CEO’s statement about potential layoffs.</w:t>
      </w:r>
    </w:p>
    <w:p w:rsidR="00C00728" w:rsidRPr="00C00728" w:rsidRDefault="00C00728" w:rsidP="00C00728">
      <w:r w:rsidRPr="00C00728">
        <w:rPr>
          <w:i/>
          <w:iCs/>
        </w:rPr>
        <w:t>Credit rating agencies downgraded the firm’s debt to BBB-, citing weak cash flow.</w:t>
      </w:r>
    </w:p>
    <w:p w:rsidR="00C00728" w:rsidRPr="00C00728" w:rsidRDefault="00C00728" w:rsidP="00C00728">
      <w:r w:rsidRPr="00C00728">
        <w:rPr>
          <w:i/>
          <w:iCs/>
        </w:rPr>
        <w:t>Shares fell 12% following disappointing quarterly results and reduced guidance.</w:t>
      </w:r>
    </w:p>
    <w:p w:rsidR="00C00728" w:rsidRPr="00C00728" w:rsidRDefault="00C00728" w:rsidP="00C00728">
      <w:r w:rsidRPr="00C00728">
        <w:rPr>
          <w:i/>
          <w:iCs/>
        </w:rPr>
        <w:t>The company plans to release its Q4 earnings report on December 15.</w:t>
      </w:r>
    </w:p>
    <w:p w:rsidR="00C00728" w:rsidRPr="00C00728" w:rsidRDefault="00C00728" w:rsidP="00C00728">
      <w:r w:rsidRPr="00C00728">
        <w:rPr>
          <w:i/>
          <w:iCs/>
        </w:rPr>
        <w:t>Total assets stood at $1.5 billion, while total liabilities amounted to $600 million.</w:t>
      </w:r>
    </w:p>
    <w:p w:rsidR="00C00728" w:rsidRPr="00C00728" w:rsidRDefault="00C00728" w:rsidP="00C00728">
      <w:r w:rsidRPr="00C00728">
        <w:rPr>
          <w:i/>
          <w:iCs/>
        </w:rPr>
        <w:t>The company missed earnings estimates due to declining sales in the European market.</w:t>
      </w:r>
    </w:p>
    <w:p w:rsidR="00C00728" w:rsidRPr="00C00728" w:rsidRDefault="00C00728" w:rsidP="00C00728">
      <w:r w:rsidRPr="00C00728">
        <w:rPr>
          <w:i/>
          <w:iCs/>
        </w:rPr>
        <w:t>Operating margins shrank amid rising raw material costs and supply chain disruptions.</w:t>
      </w:r>
    </w:p>
    <w:p w:rsidR="005E4A9F" w:rsidRDefault="005E4A9F"/>
    <w:sectPr w:rsidR="005E4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28"/>
    <w:rsid w:val="005E4A9F"/>
    <w:rsid w:val="00C00728"/>
    <w:rsid w:val="00E93A82"/>
    <w:rsid w:val="00F3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0D27"/>
  <w15:chartTrackingRefBased/>
  <w15:docId w15:val="{8901F74A-017F-4E1B-B9E3-1287D460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Ishant Singh</dc:creator>
  <cp:keywords/>
  <dc:description/>
  <cp:lastModifiedBy>Ishant Singh</cp:lastModifiedBy>
  <cp:revision>1</cp:revision>
  <dcterms:created xsi:type="dcterms:W3CDTF">2025-11-09T21:42:00Z</dcterms:created>
  <dcterms:modified xsi:type="dcterms:W3CDTF">2025-11-09T21:45:00Z</dcterms:modified>
</cp:coreProperties>
</file>