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1FC7" w:rsidRDefault="0088510B">
      <w:pPr>
        <w:pStyle w:val="Title"/>
        <w:spacing w:line="276" w:lineRule="auto"/>
        <w:jc w:val="center"/>
      </w:pPr>
      <w:r>
        <w:t>MATH 577a-HW2</w:t>
      </w:r>
    </w:p>
    <w:p w:rsidR="000B1FC7" w:rsidRDefault="0088510B">
      <w:pPr>
        <w:spacing w:line="276" w:lineRule="auto"/>
        <w:jc w:val="center"/>
        <w:rPr>
          <w:b/>
          <w:sz w:val="28"/>
          <w:szCs w:val="28"/>
        </w:rPr>
      </w:pPr>
      <w:r>
        <w:rPr>
          <w:b/>
          <w:sz w:val="28"/>
          <w:szCs w:val="28"/>
        </w:rPr>
        <w:t>Amal Thomas</w:t>
      </w:r>
    </w:p>
    <w:p w:rsidR="000B1FC7" w:rsidRDefault="0088510B">
      <w:pPr>
        <w:pStyle w:val="Heading1"/>
        <w:spacing w:line="240" w:lineRule="auto"/>
      </w:pPr>
      <w:r>
        <w:t>Q1.</w:t>
      </w:r>
    </w:p>
    <w:p w:rsidR="000B1FC7" w:rsidRDefault="0088510B">
      <w:pPr>
        <w:spacing w:line="240" w:lineRule="auto"/>
      </w:pPr>
      <w:r>
        <w:t xml:space="preserve">Created </w:t>
      </w:r>
      <w:proofErr w:type="spellStart"/>
      <w:r>
        <w:t>git</w:t>
      </w:r>
      <w:proofErr w:type="spellEnd"/>
      <w:r>
        <w:t xml:space="preserve"> repository &amp; made </w:t>
      </w:r>
      <w:proofErr w:type="spellStart"/>
      <w:r>
        <w:t>TsuPei</w:t>
      </w:r>
      <w:proofErr w:type="spellEnd"/>
      <w:r>
        <w:t xml:space="preserve"> collaborator.</w:t>
      </w:r>
    </w:p>
    <w:p w:rsidR="000B1FC7" w:rsidRDefault="0088510B">
      <w:pPr>
        <w:pStyle w:val="Heading1"/>
        <w:spacing w:line="240" w:lineRule="auto"/>
      </w:pPr>
      <w:r>
        <w:t>Q2.</w:t>
      </w:r>
    </w:p>
    <w:p w:rsidR="000B1FC7" w:rsidRDefault="0088510B">
      <w:r>
        <w:rPr>
          <w:b/>
          <w:bCs/>
          <w:kern w:val="0"/>
          <w:lang w:bidi="ar"/>
        </w:rPr>
        <w:t>SELEX-</w:t>
      </w:r>
      <w:proofErr w:type="spellStart"/>
      <w:r>
        <w:rPr>
          <w:b/>
          <w:bCs/>
          <w:kern w:val="0"/>
          <w:lang w:bidi="ar"/>
        </w:rPr>
        <w:t>seq</w:t>
      </w:r>
      <w:proofErr w:type="spellEnd"/>
      <w:r>
        <w:rPr>
          <w:kern w:val="0"/>
          <w:lang w:bidi="ar"/>
        </w:rPr>
        <w:t xml:space="preserve"> is a </w:t>
      </w:r>
      <w:r>
        <w:rPr>
          <w:szCs w:val="32"/>
        </w:rPr>
        <w:t xml:space="preserve">technique in molecular biology to </w:t>
      </w:r>
      <w:r>
        <w:rPr>
          <w:kern w:val="0"/>
          <w:lang w:bidi="ar"/>
        </w:rPr>
        <w:t xml:space="preserve">calculate relative affinities for a wide range of high, medium, and low-affinity binding sites. This technique combines </w:t>
      </w:r>
      <w:r>
        <w:rPr>
          <w:kern w:val="0"/>
          <w:lang w:bidi="ar"/>
        </w:rPr>
        <w:t xml:space="preserve">classical protein-DNA SELEX (Systematic Evolution of Ligands by </w:t>
      </w:r>
      <w:proofErr w:type="spellStart"/>
      <w:r>
        <w:rPr>
          <w:kern w:val="0"/>
          <w:lang w:bidi="ar"/>
        </w:rPr>
        <w:t>EXponential</w:t>
      </w:r>
      <w:proofErr w:type="spellEnd"/>
      <w:r>
        <w:rPr>
          <w:kern w:val="0"/>
          <w:lang w:bidi="ar"/>
        </w:rPr>
        <w:t xml:space="preserve"> Enrichment) assays with massively parallel sequencing</w:t>
      </w:r>
      <w:r>
        <w:rPr>
          <w:kern w:val="0"/>
          <w:lang w:bidi="ar"/>
        </w:rPr>
        <w:t>.</w:t>
      </w:r>
      <w:r>
        <w:rPr>
          <w:kern w:val="0"/>
          <w:lang w:bidi="ar"/>
        </w:rPr>
        <w:br/>
      </w:r>
      <w:r>
        <w:t>Advantages:</w:t>
      </w:r>
    </w:p>
    <w:p w:rsidR="000B1FC7" w:rsidRDefault="0088510B">
      <w:pPr>
        <w:numPr>
          <w:ilvl w:val="0"/>
          <w:numId w:val="1"/>
        </w:numPr>
      </w:pPr>
      <w:r>
        <w:t>higher sequencing coverage gives better inference</w:t>
      </w:r>
    </w:p>
    <w:p w:rsidR="000B1FC7" w:rsidRDefault="0088510B">
      <w:pPr>
        <w:numPr>
          <w:ilvl w:val="0"/>
          <w:numId w:val="1"/>
        </w:numPr>
      </w:pPr>
      <w:r>
        <w:t>cell-specific aptamers can be obtained without any knowledge ab</w:t>
      </w:r>
      <w:r>
        <w:t>out cell surface molecules on the target cells</w:t>
      </w:r>
    </w:p>
    <w:p w:rsidR="000B1FC7" w:rsidRDefault="0088510B">
      <w:r>
        <w:t>Disadvantages:</w:t>
      </w:r>
    </w:p>
    <w:p w:rsidR="000B1FC7" w:rsidRDefault="0088510B">
      <w:pPr>
        <w:numPr>
          <w:ilvl w:val="0"/>
          <w:numId w:val="1"/>
        </w:numPr>
      </w:pPr>
      <w:r>
        <w:t>sequencing errors.</w:t>
      </w:r>
    </w:p>
    <w:p w:rsidR="000B1FC7" w:rsidRDefault="0088510B">
      <w:r>
        <w:rPr>
          <w:b/>
          <w:bCs/>
        </w:rPr>
        <w:t>Protein-binding microarray (PBM)</w:t>
      </w:r>
      <w:r>
        <w:t xml:space="preserve"> technology provides a rapid, high-throughput means of characterizing the in vitro DNA-binding specificities of transcription factors (TFs). In</w:t>
      </w:r>
      <w:r>
        <w:t xml:space="preserve"> PBM high-density microarrays containing all 10-mer sequence variants is used to obtain a comprehensive binding-site measurements for any TF, regardless of its structural class or species of origin. </w:t>
      </w:r>
    </w:p>
    <w:p w:rsidR="000B1FC7" w:rsidRDefault="0088510B">
      <w:r>
        <w:t>Advantages:</w:t>
      </w:r>
    </w:p>
    <w:p w:rsidR="000B1FC7" w:rsidRDefault="0088510B">
      <w:pPr>
        <w:numPr>
          <w:ilvl w:val="0"/>
          <w:numId w:val="1"/>
        </w:numPr>
      </w:pPr>
      <w:r>
        <w:t xml:space="preserve">Better quantitative information: the signal </w:t>
      </w:r>
      <w:r>
        <w:t xml:space="preserve">within each spot on the microarray corresponds to numerous DNA-protein binding events. </w:t>
      </w:r>
    </w:p>
    <w:p w:rsidR="000B1FC7" w:rsidRDefault="0088510B">
      <w:pPr>
        <w:numPr>
          <w:ilvl w:val="0"/>
          <w:numId w:val="1"/>
        </w:numPr>
      </w:pPr>
      <w:r>
        <w:lastRenderedPageBreak/>
        <w:t>Non-binding sequences can be identified.</w:t>
      </w:r>
    </w:p>
    <w:p w:rsidR="000B1FC7" w:rsidRDefault="0088510B">
      <w:r>
        <w:t>Disadvantages:</w:t>
      </w:r>
    </w:p>
    <w:p w:rsidR="000B1FC7" w:rsidRDefault="0088510B">
      <w:pPr>
        <w:numPr>
          <w:ilvl w:val="0"/>
          <w:numId w:val="1"/>
        </w:numPr>
      </w:pPr>
      <w:r>
        <w:t>Repetitive PCR of bounded probes can lead to bias.</w:t>
      </w:r>
    </w:p>
    <w:p w:rsidR="000B1FC7" w:rsidRDefault="0088510B">
      <w:proofErr w:type="spellStart"/>
      <w:r>
        <w:rPr>
          <w:b/>
          <w:bCs/>
        </w:rPr>
        <w:t>ChIP-seq</w:t>
      </w:r>
      <w:proofErr w:type="spellEnd"/>
      <w:r>
        <w:t xml:space="preserve"> combines </w:t>
      </w:r>
      <w:hyperlink r:id="rId6" w:tooltip="Chromatin immunoprecipitation" w:history="1">
        <w:r>
          <w:t>chromatin immunoprecipitation</w:t>
        </w:r>
      </w:hyperlink>
      <w:r>
        <w:t xml:space="preserve"> (</w:t>
      </w:r>
      <w:proofErr w:type="spellStart"/>
      <w:r>
        <w:t>ChIP</w:t>
      </w:r>
      <w:proofErr w:type="spellEnd"/>
      <w:r>
        <w:t xml:space="preserve">) with massively parallel </w:t>
      </w:r>
      <w:hyperlink r:id="rId7" w:tooltip="DNA sequencing" w:history="1">
        <w:r>
          <w:t>DNA sequencing</w:t>
        </w:r>
      </w:hyperlink>
      <w:r>
        <w:t xml:space="preserve"> to identify the </w:t>
      </w:r>
      <w:hyperlink r:id="rId8" w:tooltip="Binding site" w:history="1">
        <w:r>
          <w:t>binding sites</w:t>
        </w:r>
      </w:hyperlink>
      <w:r>
        <w:t xml:space="preserve"> of DNA-associated proteins. In this technique we pull out those protein-DNA complex in which protein is bound to the target DNA, then the protein is degraded and purified DNA is se</w:t>
      </w:r>
      <w:r>
        <w:t>quenced.</w:t>
      </w:r>
    </w:p>
    <w:p w:rsidR="000B1FC7" w:rsidRDefault="0088510B">
      <w:r>
        <w:t>Advantages:</w:t>
      </w:r>
    </w:p>
    <w:p w:rsidR="000B1FC7" w:rsidRDefault="0088510B">
      <w:pPr>
        <w:numPr>
          <w:ilvl w:val="0"/>
          <w:numId w:val="2"/>
        </w:numPr>
      </w:pPr>
      <w:r>
        <w:t>I</w:t>
      </w:r>
      <w:r>
        <w:t xml:space="preserve">ncrease in resolution and reduction in noise over </w:t>
      </w:r>
      <w:proofErr w:type="spellStart"/>
      <w:r>
        <w:t>ChIP</w:t>
      </w:r>
      <w:proofErr w:type="spellEnd"/>
      <w:r>
        <w:t>-chip</w:t>
      </w:r>
    </w:p>
    <w:p w:rsidR="000B1FC7" w:rsidRDefault="0088510B">
      <w:pPr>
        <w:numPr>
          <w:ilvl w:val="0"/>
          <w:numId w:val="2"/>
        </w:numPr>
      </w:pPr>
      <w:r>
        <w:t>G</w:t>
      </w:r>
      <w:r>
        <w:t>enome coverage is not limited by the probe sequences fixed on the array.</w:t>
      </w:r>
    </w:p>
    <w:p w:rsidR="000B1FC7" w:rsidRDefault="0088510B">
      <w:r>
        <w:t xml:space="preserve">Disadvantages: </w:t>
      </w:r>
    </w:p>
    <w:p w:rsidR="000B1FC7" w:rsidRDefault="0088510B">
      <w:pPr>
        <w:numPr>
          <w:ilvl w:val="0"/>
          <w:numId w:val="2"/>
        </w:numPr>
      </w:pPr>
      <w:proofErr w:type="spellStart"/>
      <w:r>
        <w:t>ChIP</w:t>
      </w:r>
      <w:proofErr w:type="spellEnd"/>
      <w:r>
        <w:t xml:space="preserve"> experiments cannot discriminate between different TF isoforms.</w:t>
      </w:r>
    </w:p>
    <w:p w:rsidR="000B1FC7" w:rsidRDefault="0088510B">
      <w:pPr>
        <w:numPr>
          <w:ilvl w:val="0"/>
          <w:numId w:val="2"/>
        </w:numPr>
      </w:pPr>
      <w:r>
        <w:t xml:space="preserve">Difficulty in </w:t>
      </w:r>
      <w:r>
        <w:t>creating large scale assays because specific antibodies has to be designed.</w:t>
      </w:r>
    </w:p>
    <w:p w:rsidR="000B1FC7" w:rsidRDefault="0088510B">
      <w:pPr>
        <w:pStyle w:val="Heading1"/>
        <w:spacing w:line="240" w:lineRule="auto"/>
      </w:pPr>
      <w:r>
        <w:t>Q3.</w:t>
      </w:r>
    </w:p>
    <w:p w:rsidR="000B1FC7" w:rsidRDefault="0088510B">
      <w:pPr>
        <w:spacing w:line="240" w:lineRule="auto"/>
      </w:pPr>
      <w:r>
        <w:t xml:space="preserve">Installed R-3.3.0, </w:t>
      </w:r>
      <w:proofErr w:type="spellStart"/>
      <w:r>
        <w:t>bioconductor</w:t>
      </w:r>
      <w:proofErr w:type="spellEnd"/>
      <w:r>
        <w:t xml:space="preserve">, </w:t>
      </w:r>
      <w:proofErr w:type="spellStart"/>
      <w:r>
        <w:t>DNAshapeR</w:t>
      </w:r>
      <w:proofErr w:type="spellEnd"/>
      <w:r>
        <w:t xml:space="preserve"> &amp; Caret</w:t>
      </w:r>
    </w:p>
    <w:p w:rsidR="000B1FC7" w:rsidRDefault="0088510B">
      <w:r>
        <w:t xml:space="preserve">Cloned </w:t>
      </w:r>
      <w:proofErr w:type="spellStart"/>
      <w:r>
        <w:t>TsuPeiChiu</w:t>
      </w:r>
      <w:proofErr w:type="spellEnd"/>
      <w:r>
        <w:t xml:space="preserve"> </w:t>
      </w:r>
      <w:proofErr w:type="spellStart"/>
      <w:r>
        <w:t>github</w:t>
      </w:r>
      <w:proofErr w:type="spellEnd"/>
      <w:r>
        <w:t xml:space="preserve"> directory for the data.</w:t>
      </w:r>
    </w:p>
    <w:p w:rsidR="000B1FC7" w:rsidRDefault="0088510B">
      <w:pPr>
        <w:pStyle w:val="Heading1"/>
        <w:spacing w:line="240" w:lineRule="auto"/>
      </w:pPr>
      <w:r>
        <w:t>Q4.</w:t>
      </w:r>
    </w:p>
    <w:p w:rsidR="000B1FC7" w:rsidRDefault="0088510B">
      <w:pPr>
        <w:numPr>
          <w:ilvl w:val="0"/>
          <w:numId w:val="3"/>
        </w:numPr>
      </w:pPr>
      <w:r>
        <w:t>Feature vector created by the steps mentioned in script: Q4-</w:t>
      </w:r>
      <w:proofErr w:type="gramStart"/>
      <w:r>
        <w:t>5.R</w:t>
      </w:r>
      <w:proofErr w:type="gramEnd"/>
    </w:p>
    <w:p w:rsidR="000B1FC7" w:rsidRDefault="000B1FC7">
      <w:pPr>
        <w:numPr>
          <w:ilvl w:val="0"/>
          <w:numId w:val="3"/>
        </w:numPr>
      </w:pPr>
    </w:p>
    <w:p w:rsidR="000B1FC7" w:rsidRDefault="0088510B">
      <w:pPr>
        <w:spacing w:line="240" w:lineRule="auto"/>
        <w:jc w:val="center"/>
      </w:pPr>
      <w:r>
        <w:t xml:space="preserve">Table </w:t>
      </w:r>
      <w:r>
        <w:t xml:space="preserve">1. showing average R^2 values for sequence model and </w:t>
      </w:r>
      <w:proofErr w:type="spellStart"/>
      <w:r>
        <w:t>sequence+shape</w:t>
      </w:r>
      <w:proofErr w:type="spellEnd"/>
      <w:r>
        <w:t xml:space="preserve"> model.</w:t>
      </w:r>
    </w:p>
    <w:p w:rsidR="0088510B" w:rsidRDefault="0088510B">
      <w:pPr>
        <w:spacing w:line="240" w:lineRule="auto"/>
        <w:jc w:val="center"/>
      </w:pPr>
    </w:p>
    <w:tbl>
      <w:tblPr>
        <w:tblW w:w="6279" w:type="dxa"/>
        <w:jc w:val="center"/>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89"/>
        <w:gridCol w:w="2373"/>
        <w:gridCol w:w="2717"/>
      </w:tblGrid>
      <w:tr w:rsidR="000B1FC7">
        <w:trPr>
          <w:trHeight w:val="508"/>
          <w:tblCellSpacing w:w="0" w:type="dxa"/>
          <w:jc w:val="center"/>
        </w:trPr>
        <w:tc>
          <w:tcPr>
            <w:tcW w:w="6279" w:type="dxa"/>
            <w:gridSpan w:val="3"/>
            <w:shd w:val="clear" w:color="auto" w:fill="F1F1F1"/>
            <w:vAlign w:val="center"/>
          </w:tcPr>
          <w:p w:rsidR="000B1FC7" w:rsidRDefault="0088510B">
            <w:pPr>
              <w:widowControl/>
              <w:jc w:val="center"/>
              <w:rPr>
                <w:rFonts w:eastAsia="Liberation Sans"/>
                <w:sz w:val="20"/>
                <w:szCs w:val="20"/>
              </w:rPr>
            </w:pPr>
            <w:r>
              <w:rPr>
                <w:rFonts w:eastAsia="Liberation Sans"/>
                <w:b/>
                <w:bCs/>
                <w:kern w:val="0"/>
                <w:sz w:val="20"/>
                <w:szCs w:val="20"/>
                <w:lang w:bidi="ar"/>
              </w:rPr>
              <w:lastRenderedPageBreak/>
              <w:t>R</w:t>
            </w:r>
            <w:r>
              <w:rPr>
                <w:rFonts w:eastAsia="Liberation Sans"/>
                <w:b/>
                <w:bCs/>
                <w:kern w:val="0"/>
                <w:sz w:val="20"/>
                <w:szCs w:val="20"/>
                <w:lang w:bidi="ar"/>
              </w:rPr>
              <w:t>^2</w:t>
            </w:r>
            <w:r>
              <w:rPr>
                <w:rFonts w:eastAsia="Liberation Sans"/>
                <w:b/>
                <w:bCs/>
                <w:kern w:val="0"/>
                <w:sz w:val="20"/>
                <w:szCs w:val="20"/>
                <w:lang w:bidi="ar"/>
              </w:rPr>
              <w:t xml:space="preserve"> values</w:t>
            </w:r>
          </w:p>
        </w:tc>
      </w:tr>
      <w:tr w:rsidR="000B1FC7">
        <w:trPr>
          <w:trHeight w:val="508"/>
          <w:tblCellSpacing w:w="0" w:type="dxa"/>
          <w:jc w:val="center"/>
        </w:trPr>
        <w:tc>
          <w:tcPr>
            <w:tcW w:w="1189" w:type="dxa"/>
            <w:vAlign w:val="center"/>
          </w:tcPr>
          <w:p w:rsidR="000B1FC7" w:rsidRDefault="000B1FC7">
            <w:pPr>
              <w:widowControl/>
              <w:jc w:val="center"/>
              <w:rPr>
                <w:rFonts w:eastAsia="Liberation Sans"/>
                <w:sz w:val="20"/>
                <w:szCs w:val="20"/>
              </w:rPr>
            </w:pPr>
          </w:p>
        </w:tc>
        <w:tc>
          <w:tcPr>
            <w:tcW w:w="2373" w:type="dxa"/>
            <w:vAlign w:val="center"/>
          </w:tcPr>
          <w:p w:rsidR="000B1FC7" w:rsidRDefault="0088510B">
            <w:pPr>
              <w:widowControl/>
              <w:jc w:val="center"/>
              <w:rPr>
                <w:rFonts w:eastAsia="Liberation Sans"/>
                <w:b/>
                <w:bCs/>
                <w:sz w:val="20"/>
                <w:szCs w:val="20"/>
              </w:rPr>
            </w:pPr>
            <w:r>
              <w:rPr>
                <w:rFonts w:eastAsia="Liberation Sans"/>
                <w:b/>
                <w:bCs/>
                <w:kern w:val="0"/>
                <w:sz w:val="20"/>
                <w:szCs w:val="20"/>
                <w:lang w:bidi="ar"/>
              </w:rPr>
              <w:t>1-mer</w:t>
            </w:r>
          </w:p>
        </w:tc>
        <w:tc>
          <w:tcPr>
            <w:tcW w:w="2717" w:type="dxa"/>
            <w:vAlign w:val="center"/>
          </w:tcPr>
          <w:p w:rsidR="000B1FC7" w:rsidRDefault="0088510B">
            <w:pPr>
              <w:widowControl/>
              <w:jc w:val="center"/>
              <w:rPr>
                <w:rFonts w:eastAsia="Liberation Sans"/>
                <w:b/>
                <w:bCs/>
                <w:sz w:val="20"/>
                <w:szCs w:val="20"/>
              </w:rPr>
            </w:pPr>
            <w:r>
              <w:rPr>
                <w:rFonts w:eastAsia="Liberation Sans"/>
                <w:b/>
                <w:bCs/>
                <w:kern w:val="0"/>
                <w:sz w:val="20"/>
                <w:szCs w:val="20"/>
                <w:lang w:bidi="ar"/>
              </w:rPr>
              <w:t>1-mer+Shape</w:t>
            </w:r>
          </w:p>
        </w:tc>
      </w:tr>
      <w:tr w:rsidR="000B1FC7">
        <w:trPr>
          <w:trHeight w:val="508"/>
          <w:tblCellSpacing w:w="0" w:type="dxa"/>
          <w:jc w:val="center"/>
        </w:trPr>
        <w:tc>
          <w:tcPr>
            <w:tcW w:w="1189" w:type="dxa"/>
            <w:vAlign w:val="center"/>
          </w:tcPr>
          <w:p w:rsidR="000B1FC7" w:rsidRDefault="0088510B">
            <w:pPr>
              <w:widowControl/>
              <w:jc w:val="center"/>
              <w:rPr>
                <w:rFonts w:eastAsia="Liberation Sans"/>
                <w:sz w:val="20"/>
                <w:szCs w:val="20"/>
              </w:rPr>
            </w:pPr>
            <w:r>
              <w:rPr>
                <w:rFonts w:eastAsia="Liberation Sans"/>
                <w:kern w:val="0"/>
                <w:sz w:val="20"/>
                <w:szCs w:val="20"/>
                <w:lang w:bidi="ar"/>
              </w:rPr>
              <w:t>Mad</w:t>
            </w:r>
          </w:p>
        </w:tc>
        <w:tc>
          <w:tcPr>
            <w:tcW w:w="2373"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0.77</w:t>
            </w:r>
            <w:r>
              <w:rPr>
                <w:rFonts w:eastAsia="Liberation Sans"/>
                <w:kern w:val="0"/>
                <w:sz w:val="20"/>
                <w:szCs w:val="20"/>
                <w:lang w:bidi="ar"/>
              </w:rPr>
              <w:t>5</w:t>
            </w:r>
          </w:p>
        </w:tc>
        <w:tc>
          <w:tcPr>
            <w:tcW w:w="2717"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0.863</w:t>
            </w:r>
          </w:p>
        </w:tc>
      </w:tr>
      <w:tr w:rsidR="000B1FC7">
        <w:trPr>
          <w:trHeight w:val="508"/>
          <w:tblCellSpacing w:w="0" w:type="dxa"/>
          <w:jc w:val="center"/>
        </w:trPr>
        <w:tc>
          <w:tcPr>
            <w:tcW w:w="1189" w:type="dxa"/>
            <w:vAlign w:val="center"/>
          </w:tcPr>
          <w:p w:rsidR="000B1FC7" w:rsidRDefault="0088510B">
            <w:pPr>
              <w:widowControl/>
              <w:jc w:val="center"/>
              <w:rPr>
                <w:rFonts w:eastAsia="Liberation Sans"/>
                <w:sz w:val="20"/>
                <w:szCs w:val="20"/>
              </w:rPr>
            </w:pPr>
            <w:proofErr w:type="spellStart"/>
            <w:r>
              <w:rPr>
                <w:rFonts w:eastAsia="Liberation Sans"/>
                <w:kern w:val="0"/>
                <w:sz w:val="20"/>
                <w:szCs w:val="20"/>
                <w:lang w:bidi="ar"/>
              </w:rPr>
              <w:t>Myc</w:t>
            </w:r>
            <w:proofErr w:type="spellEnd"/>
          </w:p>
        </w:tc>
        <w:tc>
          <w:tcPr>
            <w:tcW w:w="2373"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0.77</w:t>
            </w:r>
            <w:r>
              <w:rPr>
                <w:rFonts w:eastAsia="Liberation Sans"/>
                <w:kern w:val="0"/>
                <w:sz w:val="20"/>
                <w:szCs w:val="20"/>
                <w:lang w:bidi="ar"/>
              </w:rPr>
              <w:t>8</w:t>
            </w:r>
          </w:p>
        </w:tc>
        <w:tc>
          <w:tcPr>
            <w:tcW w:w="2717"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0.855</w:t>
            </w:r>
          </w:p>
        </w:tc>
      </w:tr>
      <w:tr w:rsidR="000B1FC7">
        <w:trPr>
          <w:trHeight w:val="508"/>
          <w:tblCellSpacing w:w="0" w:type="dxa"/>
          <w:jc w:val="center"/>
        </w:trPr>
        <w:tc>
          <w:tcPr>
            <w:tcW w:w="1189" w:type="dxa"/>
            <w:vAlign w:val="center"/>
          </w:tcPr>
          <w:p w:rsidR="000B1FC7" w:rsidRDefault="0088510B">
            <w:pPr>
              <w:widowControl/>
              <w:jc w:val="center"/>
              <w:rPr>
                <w:rFonts w:eastAsia="Liberation Sans"/>
                <w:sz w:val="20"/>
                <w:szCs w:val="20"/>
              </w:rPr>
            </w:pPr>
            <w:r>
              <w:rPr>
                <w:rFonts w:eastAsia="Liberation Sans"/>
                <w:kern w:val="0"/>
                <w:sz w:val="20"/>
                <w:szCs w:val="20"/>
                <w:lang w:bidi="ar"/>
              </w:rPr>
              <w:t>Max</w:t>
            </w:r>
          </w:p>
        </w:tc>
        <w:tc>
          <w:tcPr>
            <w:tcW w:w="2373"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0.785</w:t>
            </w:r>
          </w:p>
        </w:tc>
        <w:tc>
          <w:tcPr>
            <w:tcW w:w="2717" w:type="dxa"/>
            <w:vAlign w:val="center"/>
          </w:tcPr>
          <w:p w:rsidR="000B1FC7" w:rsidRDefault="0088510B">
            <w:pPr>
              <w:widowControl/>
              <w:jc w:val="center"/>
              <w:rPr>
                <w:rFonts w:eastAsia="Liberation Sans"/>
                <w:sz w:val="20"/>
                <w:szCs w:val="20"/>
              </w:rPr>
            </w:pPr>
            <w:r>
              <w:rPr>
                <w:rFonts w:eastAsia="Liberation Sans"/>
                <w:kern w:val="0"/>
                <w:sz w:val="20"/>
                <w:szCs w:val="20"/>
                <w:lang w:bidi="ar"/>
              </w:rPr>
              <w:t>0.86</w:t>
            </w:r>
            <w:r>
              <w:rPr>
                <w:rFonts w:eastAsia="Liberation Sans"/>
                <w:kern w:val="0"/>
                <w:sz w:val="20"/>
                <w:szCs w:val="20"/>
                <w:lang w:bidi="ar"/>
              </w:rPr>
              <w:t>4</w:t>
            </w:r>
          </w:p>
        </w:tc>
      </w:tr>
    </w:tbl>
    <w:p w:rsidR="000B1FC7" w:rsidRDefault="000B1FC7"/>
    <w:p w:rsidR="000B1FC7" w:rsidRDefault="0088510B">
      <w:r>
        <w:t xml:space="preserve">It can be seen that the sequence + shape model performs clearly better than the 1-mer model when </w:t>
      </w:r>
      <w:r>
        <w:t>comparing the average R^2 values (Table 1).</w:t>
      </w:r>
    </w:p>
    <w:p w:rsidR="000B1FC7" w:rsidRDefault="0088510B" w:rsidP="0088510B">
      <w:pPr>
        <w:pStyle w:val="Heading1"/>
        <w:spacing w:line="240" w:lineRule="auto"/>
      </w:pPr>
      <w:r>
        <w:t xml:space="preserve">Q5. </w:t>
      </w:r>
    </w:p>
    <w:p w:rsidR="000B1FC7" w:rsidRDefault="0088510B" w:rsidP="0088510B">
      <w:pPr>
        <w:spacing w:line="240" w:lineRule="auto"/>
      </w:pPr>
      <w:r>
        <w:t>A)</w:t>
      </w:r>
    </w:p>
    <w:p w:rsidR="000B1FC7" w:rsidRDefault="0088510B">
      <w:pPr>
        <w:jc w:val="center"/>
      </w:pPr>
      <w:r>
        <w:rPr>
          <w:noProof/>
          <w:lang w:eastAsia="en-US"/>
        </w:rPr>
        <w:drawing>
          <wp:inline distT="0" distB="0" distL="114300" distR="114300">
            <wp:extent cx="4133088" cy="4133088"/>
            <wp:effectExtent l="0" t="0" r="1270" b="1270"/>
            <wp:docPr id="1" name="Picture 2" descr="R^2 sequ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2 sequence model"/>
                    <pic:cNvPicPr>
                      <a:picLocks noChangeAspect="1"/>
                    </pic:cNvPicPr>
                  </pic:nvPicPr>
                  <pic:blipFill>
                    <a:blip r:embed="rId9"/>
                    <a:stretch>
                      <a:fillRect/>
                    </a:stretch>
                  </pic:blipFill>
                  <pic:spPr>
                    <a:xfrm>
                      <a:off x="0" y="0"/>
                      <a:ext cx="4138003" cy="4138003"/>
                    </a:xfrm>
                    <a:prstGeom prst="rect">
                      <a:avLst/>
                    </a:prstGeom>
                    <a:noFill/>
                    <a:ln w="9525">
                      <a:noFill/>
                      <a:miter/>
                    </a:ln>
                  </pic:spPr>
                </pic:pic>
              </a:graphicData>
            </a:graphic>
          </wp:inline>
        </w:drawing>
      </w:r>
    </w:p>
    <w:p w:rsidR="000B1FC7" w:rsidRDefault="0088510B">
      <w:pPr>
        <w:widowControl/>
        <w:jc w:val="center"/>
      </w:pPr>
      <w:r>
        <w:t>Figure 1: Graph comparing the R^2 values between two models.</w:t>
      </w:r>
    </w:p>
    <w:p w:rsidR="000B1FC7" w:rsidRDefault="0088510B">
      <w:pPr>
        <w:widowControl/>
        <w:jc w:val="left"/>
      </w:pPr>
      <w:r>
        <w:lastRenderedPageBreak/>
        <w:t>B)</w:t>
      </w:r>
    </w:p>
    <w:p w:rsidR="000B1FC7" w:rsidRDefault="0088510B">
      <w:pPr>
        <w:widowControl/>
      </w:pPr>
      <w:r>
        <w:t xml:space="preserve">Mann-Whitney U test (also known as </w:t>
      </w:r>
      <w:r>
        <w:t>Wilcoxon rank-sum test)</w:t>
      </w:r>
      <w:r>
        <w:t xml:space="preserve"> is used to find out the p-value (script Q4-</w:t>
      </w:r>
      <w:proofErr w:type="gramStart"/>
      <w:r>
        <w:t>5.R</w:t>
      </w:r>
      <w:proofErr w:type="gramEnd"/>
      <w:r>
        <w:t>).</w:t>
      </w:r>
    </w:p>
    <w:p w:rsidR="000B1FC7" w:rsidRDefault="0088510B" w:rsidP="0088510B">
      <w:pPr>
        <w:widowControl/>
        <w:spacing w:line="240" w:lineRule="auto"/>
      </w:pPr>
      <w:r>
        <w:t>Command Used:</w:t>
      </w:r>
    </w:p>
    <w:p w:rsidR="000B1FC7" w:rsidRDefault="0088510B" w:rsidP="0088510B">
      <w:pPr>
        <w:widowControl/>
      </w:pPr>
      <w:proofErr w:type="spellStart"/>
      <w:r>
        <w:t>wilcox.test</w:t>
      </w:r>
      <w:proofErr w:type="spellEnd"/>
      <w:r>
        <w:t>(</w:t>
      </w:r>
      <w:proofErr w:type="spellStart"/>
      <w:proofErr w:type="gramStart"/>
      <w:r>
        <w:t>y,x</w:t>
      </w:r>
      <w:proofErr w:type="spellEnd"/>
      <w:proofErr w:type="gramEnd"/>
      <w:r>
        <w:t>) #</w:t>
      </w:r>
      <w:r>
        <w:t xml:space="preserve"> independent 2-group Mann-Whitney U Test</w:t>
      </w:r>
    </w:p>
    <w:p w:rsidR="000B1FC7" w:rsidRDefault="0088510B">
      <w:pPr>
        <w:widowControl/>
      </w:pPr>
      <w:r>
        <w:t>Null hypothesis: R^2 values under sequence model and sequence + structure model follows</w:t>
      </w:r>
      <w:r>
        <w:t xml:space="preserve"> same distribution. </w:t>
      </w:r>
    </w:p>
    <w:p w:rsidR="000B1FC7" w:rsidRDefault="0088510B">
      <w:pPr>
        <w:widowControl/>
      </w:pPr>
      <w:r>
        <w:t xml:space="preserve">By performing the test, the resulting p-value obtained is 0.1. At 0.05 significance level, we conclude </w:t>
      </w:r>
      <w:r>
        <w:t xml:space="preserve">that the Null hypothesis is true that is there is no significant out performance by shape augmented model. </w:t>
      </w:r>
    </w:p>
    <w:p w:rsidR="000B1FC7" w:rsidRDefault="0088510B" w:rsidP="0088510B">
      <w:pPr>
        <w:widowControl/>
        <w:spacing w:line="240" w:lineRule="auto"/>
      </w:pPr>
      <w:r>
        <w:t>Note: But here we have to consider that the sample size is very small. This might affect our statistical analysis.</w:t>
      </w:r>
    </w:p>
    <w:p w:rsidR="000B1FC7" w:rsidRDefault="0088510B" w:rsidP="0088510B">
      <w:pPr>
        <w:pStyle w:val="Heading1"/>
        <w:spacing w:before="0" w:line="240" w:lineRule="auto"/>
      </w:pPr>
      <w:r>
        <w:t>Q6.</w:t>
      </w:r>
    </w:p>
    <w:p w:rsidR="000B1FC7" w:rsidRDefault="0088510B" w:rsidP="0088510B">
      <w:pPr>
        <w:spacing w:line="240" w:lineRule="auto"/>
      </w:pPr>
      <w:r>
        <w:rPr>
          <w:szCs w:val="32"/>
        </w:rPr>
        <w:t xml:space="preserve">Installed </w:t>
      </w:r>
      <w:proofErr w:type="spellStart"/>
      <w:r>
        <w:rPr>
          <w:szCs w:val="32"/>
        </w:rPr>
        <w:t>AnnotationHub</w:t>
      </w:r>
      <w:proofErr w:type="spellEnd"/>
      <w:r>
        <w:rPr>
          <w:szCs w:val="32"/>
        </w:rPr>
        <w:t xml:space="preserve"> and d</w:t>
      </w:r>
      <w:r>
        <w:rPr>
          <w:szCs w:val="32"/>
        </w:rPr>
        <w:t>ownloaded FASTA file using script Q6-7.R</w:t>
      </w:r>
      <w:r>
        <w:t>Q7.</w:t>
      </w:r>
    </w:p>
    <w:p w:rsidR="000B1FC7" w:rsidRDefault="0088510B">
      <w:pPr>
        <w:jc w:val="center"/>
      </w:pPr>
      <w:r>
        <w:rPr>
          <w:noProof/>
          <w:lang w:eastAsia="en-US"/>
        </w:rPr>
        <w:drawing>
          <wp:inline distT="0" distB="0" distL="114300" distR="114300">
            <wp:extent cx="3423514" cy="3423514"/>
            <wp:effectExtent l="0" t="0" r="5715" b="5715"/>
            <wp:docPr id="2" name="Picture 12" descr="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MGW"/>
                    <pic:cNvPicPr>
                      <a:picLocks noChangeAspect="1"/>
                    </pic:cNvPicPr>
                  </pic:nvPicPr>
                  <pic:blipFill>
                    <a:blip r:embed="rId10"/>
                    <a:stretch>
                      <a:fillRect/>
                    </a:stretch>
                  </pic:blipFill>
                  <pic:spPr>
                    <a:xfrm>
                      <a:off x="0" y="0"/>
                      <a:ext cx="3462177" cy="3462177"/>
                    </a:xfrm>
                    <a:prstGeom prst="rect">
                      <a:avLst/>
                    </a:prstGeom>
                    <a:noFill/>
                    <a:ln w="9525">
                      <a:noFill/>
                      <a:miter/>
                    </a:ln>
                  </pic:spPr>
                </pic:pic>
              </a:graphicData>
            </a:graphic>
          </wp:inline>
        </w:drawing>
      </w:r>
    </w:p>
    <w:p w:rsidR="000B1FC7" w:rsidRDefault="0088510B">
      <w:pPr>
        <w:jc w:val="center"/>
      </w:pPr>
      <w:r>
        <w:t>Figure 2. Plot showing Minor Groove width.</w:t>
      </w:r>
    </w:p>
    <w:p w:rsidR="000B1FC7" w:rsidRDefault="0088510B">
      <w:pPr>
        <w:jc w:val="center"/>
      </w:pPr>
      <w:r>
        <w:rPr>
          <w:noProof/>
          <w:lang w:eastAsia="en-US"/>
        </w:rPr>
        <w:lastRenderedPageBreak/>
        <w:drawing>
          <wp:inline distT="0" distB="0" distL="114300" distR="114300">
            <wp:extent cx="4152265" cy="4152265"/>
            <wp:effectExtent l="0" t="0" r="635" b="635"/>
            <wp:docPr id="3" name="Picture 13" descr="Propellor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PropellorTwist"/>
                    <pic:cNvPicPr>
                      <a:picLocks noChangeAspect="1"/>
                    </pic:cNvPicPr>
                  </pic:nvPicPr>
                  <pic:blipFill>
                    <a:blip r:embed="rId11"/>
                    <a:stretch>
                      <a:fillRect/>
                    </a:stretch>
                  </pic:blipFill>
                  <pic:spPr>
                    <a:xfrm>
                      <a:off x="0" y="0"/>
                      <a:ext cx="4152265" cy="4152265"/>
                    </a:xfrm>
                    <a:prstGeom prst="rect">
                      <a:avLst/>
                    </a:prstGeom>
                    <a:noFill/>
                    <a:ln w="9525">
                      <a:noFill/>
                      <a:miter/>
                    </a:ln>
                  </pic:spPr>
                </pic:pic>
              </a:graphicData>
            </a:graphic>
          </wp:inline>
        </w:drawing>
      </w:r>
    </w:p>
    <w:p w:rsidR="000B1FC7" w:rsidRDefault="0088510B">
      <w:pPr>
        <w:jc w:val="center"/>
      </w:pPr>
      <w:r>
        <w:t xml:space="preserve">Figure 3. </w:t>
      </w:r>
      <w:proofErr w:type="spellStart"/>
      <w:r>
        <w:t>Propellor</w:t>
      </w:r>
      <w:proofErr w:type="spellEnd"/>
      <w:r>
        <w:t xml:space="preserve"> twist plot</w:t>
      </w:r>
    </w:p>
    <w:p w:rsidR="000B1FC7" w:rsidRDefault="0088510B">
      <w:pPr>
        <w:jc w:val="center"/>
      </w:pPr>
      <w:r>
        <w:rPr>
          <w:noProof/>
          <w:lang w:eastAsia="en-US"/>
        </w:rPr>
        <w:drawing>
          <wp:inline distT="0" distB="0" distL="114300" distR="114300">
            <wp:extent cx="3664916" cy="3664916"/>
            <wp:effectExtent l="0" t="0" r="0" b="0"/>
            <wp:docPr id="4" name="Picture 14" descr="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Roll"/>
                    <pic:cNvPicPr>
                      <a:picLocks noChangeAspect="1"/>
                    </pic:cNvPicPr>
                  </pic:nvPicPr>
                  <pic:blipFill>
                    <a:blip r:embed="rId12"/>
                    <a:stretch>
                      <a:fillRect/>
                    </a:stretch>
                  </pic:blipFill>
                  <pic:spPr>
                    <a:xfrm>
                      <a:off x="0" y="0"/>
                      <a:ext cx="3677084" cy="3677084"/>
                    </a:xfrm>
                    <a:prstGeom prst="rect">
                      <a:avLst/>
                    </a:prstGeom>
                    <a:noFill/>
                    <a:ln w="9525">
                      <a:noFill/>
                      <a:miter/>
                    </a:ln>
                  </pic:spPr>
                </pic:pic>
              </a:graphicData>
            </a:graphic>
          </wp:inline>
        </w:drawing>
      </w:r>
    </w:p>
    <w:p w:rsidR="000B1FC7" w:rsidRDefault="0088510B">
      <w:pPr>
        <w:jc w:val="center"/>
      </w:pPr>
      <w:r>
        <w:t>Figure 4: plot showing Roll</w:t>
      </w:r>
    </w:p>
    <w:p w:rsidR="000B1FC7" w:rsidRDefault="0088510B">
      <w:pPr>
        <w:jc w:val="center"/>
      </w:pPr>
      <w:r>
        <w:rPr>
          <w:noProof/>
          <w:lang w:eastAsia="en-US"/>
        </w:rPr>
        <w:lastRenderedPageBreak/>
        <w:drawing>
          <wp:inline distT="0" distB="0" distL="114300" distR="114300">
            <wp:extent cx="3540556" cy="3540556"/>
            <wp:effectExtent l="0" t="0" r="3175" b="3175"/>
            <wp:docPr id="5" name="Picture 15" descr="Helix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HelixTwist"/>
                    <pic:cNvPicPr>
                      <a:picLocks noChangeAspect="1"/>
                    </pic:cNvPicPr>
                  </pic:nvPicPr>
                  <pic:blipFill>
                    <a:blip r:embed="rId13"/>
                    <a:stretch>
                      <a:fillRect/>
                    </a:stretch>
                  </pic:blipFill>
                  <pic:spPr>
                    <a:xfrm>
                      <a:off x="0" y="0"/>
                      <a:ext cx="3554884" cy="3554884"/>
                    </a:xfrm>
                    <a:prstGeom prst="rect">
                      <a:avLst/>
                    </a:prstGeom>
                    <a:noFill/>
                    <a:ln w="9525">
                      <a:noFill/>
                      <a:miter/>
                    </a:ln>
                  </pic:spPr>
                </pic:pic>
              </a:graphicData>
            </a:graphic>
          </wp:inline>
        </w:drawing>
      </w:r>
    </w:p>
    <w:p w:rsidR="000B1FC7" w:rsidRDefault="0088510B">
      <w:pPr>
        <w:jc w:val="center"/>
      </w:pPr>
      <w:r>
        <w:t>Figure 5: plot showing Helix twist.</w:t>
      </w:r>
    </w:p>
    <w:p w:rsidR="000B1FC7" w:rsidRDefault="0088510B">
      <w:r>
        <w:t>B) Here we can see that as move from the center of binding each o</w:t>
      </w:r>
      <w:r>
        <w:t xml:space="preserve">f the parameter values changes significantly. The value for minor groove width, </w:t>
      </w:r>
      <w:proofErr w:type="spellStart"/>
      <w:r>
        <w:t>propellor</w:t>
      </w:r>
      <w:proofErr w:type="spellEnd"/>
      <w:r>
        <w:t xml:space="preserve"> twist and roll is maximum at the center. This gives us the information that the minor groove in the binding site of DNA tends to be more open and thus become accessib</w:t>
      </w:r>
      <w:r>
        <w:t>le to the TF/proteins to bind.</w:t>
      </w:r>
    </w:p>
    <w:p w:rsidR="000B1FC7" w:rsidRDefault="0088510B">
      <w:pPr>
        <w:pStyle w:val="Heading1"/>
        <w:spacing w:line="240" w:lineRule="auto"/>
      </w:pPr>
      <w:r>
        <w:t>Q8.</w:t>
      </w:r>
    </w:p>
    <w:p w:rsidR="000B1FC7" w:rsidRDefault="0088510B">
      <w:pPr>
        <w:numPr>
          <w:ilvl w:val="0"/>
          <w:numId w:val="4"/>
        </w:numPr>
      </w:pPr>
      <w:r>
        <w:t xml:space="preserve">Generate random genomic sequences: I resorted to </w:t>
      </w:r>
      <w:proofErr w:type="spellStart"/>
      <w:r>
        <w:t>BEDTools</w:t>
      </w:r>
      <w:proofErr w:type="spellEnd"/>
      <w:r>
        <w:t xml:space="preserve"> and Bash commands to do this. First genome size (</w:t>
      </w:r>
      <w:proofErr w:type="spellStart"/>
      <w:r>
        <w:t>genome.bed</w:t>
      </w:r>
      <w:proofErr w:type="spellEnd"/>
      <w:r>
        <w:t xml:space="preserve">) and </w:t>
      </w:r>
      <w:proofErr w:type="spellStart"/>
      <w:r>
        <w:t>ctcf_cordinates</w:t>
      </w:r>
      <w:proofErr w:type="spellEnd"/>
      <w:r>
        <w:t xml:space="preserve"> bed files (</w:t>
      </w:r>
      <w:proofErr w:type="spellStart"/>
      <w:r>
        <w:t>ctcf_cordinates.bed</w:t>
      </w:r>
      <w:proofErr w:type="spellEnd"/>
      <w:r>
        <w:t>) are generated as mentioned in the Q</w:t>
      </w:r>
      <w:proofErr w:type="gramStart"/>
      <w:r>
        <w:t>8.R.</w:t>
      </w:r>
      <w:proofErr w:type="gramEnd"/>
      <w:r>
        <w:t xml:space="preserve"> Then</w:t>
      </w:r>
    </w:p>
    <w:tbl>
      <w:tblPr>
        <w:tblStyle w:val="TableGrid"/>
        <w:tblW w:w="8522" w:type="dxa"/>
        <w:shd w:val="clear" w:color="auto" w:fill="F1F1F1"/>
        <w:tblLayout w:type="fixed"/>
        <w:tblLook w:val="04A0" w:firstRow="1" w:lastRow="0" w:firstColumn="1" w:lastColumn="0" w:noHBand="0" w:noVBand="1"/>
      </w:tblPr>
      <w:tblGrid>
        <w:gridCol w:w="8522"/>
      </w:tblGrid>
      <w:tr w:rsidR="000B1FC7">
        <w:tc>
          <w:tcPr>
            <w:tcW w:w="8522" w:type="dxa"/>
            <w:shd w:val="clear" w:color="auto" w:fill="F1F1F1"/>
          </w:tcPr>
          <w:p w:rsidR="000B1FC7" w:rsidRDefault="0088510B">
            <w:pPr>
              <w:jc w:val="left"/>
            </w:pPr>
            <w:r>
              <w:t xml:space="preserve">1. Sort </w:t>
            </w:r>
            <w:proofErr w:type="spellStart"/>
            <w:r>
              <w:t>genome.bed</w:t>
            </w:r>
            <w:proofErr w:type="spellEnd"/>
            <w:r>
              <w:t xml:space="preserve"> using: </w:t>
            </w:r>
          </w:p>
          <w:p w:rsidR="000B1FC7" w:rsidRDefault="0088510B">
            <w:pPr>
              <w:jc w:val="left"/>
              <w:rPr>
                <w:b/>
                <w:bCs/>
                <w:i/>
                <w:iCs/>
              </w:rPr>
            </w:pPr>
            <w:r>
              <w:rPr>
                <w:b/>
                <w:bCs/>
                <w:i/>
                <w:iCs/>
              </w:rPr>
              <w:t xml:space="preserve">sort -k 1,1 -k2,2n </w:t>
            </w:r>
            <w:proofErr w:type="spellStart"/>
            <w:r>
              <w:rPr>
                <w:b/>
                <w:bCs/>
                <w:i/>
                <w:iCs/>
              </w:rPr>
              <w:t>genome.bed</w:t>
            </w:r>
            <w:proofErr w:type="spellEnd"/>
            <w:r>
              <w:rPr>
                <w:b/>
                <w:bCs/>
                <w:i/>
                <w:iCs/>
              </w:rPr>
              <w:t xml:space="preserve"> &gt; </w:t>
            </w:r>
            <w:proofErr w:type="spellStart"/>
            <w:r>
              <w:rPr>
                <w:b/>
                <w:bCs/>
                <w:i/>
                <w:iCs/>
              </w:rPr>
              <w:t>sorted_genome.bed</w:t>
            </w:r>
            <w:proofErr w:type="spellEnd"/>
          </w:p>
          <w:p w:rsidR="000B1FC7" w:rsidRDefault="0088510B">
            <w:pPr>
              <w:jc w:val="left"/>
            </w:pPr>
            <w:r>
              <w:t xml:space="preserve">2. Sort </w:t>
            </w:r>
            <w:proofErr w:type="spellStart"/>
            <w:r>
              <w:t>ctcf_cordinates.bed</w:t>
            </w:r>
            <w:proofErr w:type="spellEnd"/>
            <w:r>
              <w:t xml:space="preserve"> using: </w:t>
            </w:r>
          </w:p>
          <w:p w:rsidR="000B1FC7" w:rsidRDefault="0088510B">
            <w:pPr>
              <w:jc w:val="left"/>
              <w:rPr>
                <w:b/>
                <w:bCs/>
                <w:i/>
                <w:iCs/>
              </w:rPr>
            </w:pPr>
            <w:proofErr w:type="spellStart"/>
            <w:r>
              <w:rPr>
                <w:b/>
                <w:bCs/>
                <w:i/>
                <w:iCs/>
              </w:rPr>
              <w:lastRenderedPageBreak/>
              <w:t>sortBed</w:t>
            </w:r>
            <w:proofErr w:type="spellEnd"/>
            <w:r>
              <w:rPr>
                <w:b/>
                <w:bCs/>
                <w:i/>
                <w:iCs/>
              </w:rPr>
              <w:t xml:space="preserve"> -</w:t>
            </w:r>
            <w:proofErr w:type="spellStart"/>
            <w:r>
              <w:rPr>
                <w:b/>
                <w:bCs/>
                <w:i/>
                <w:iCs/>
              </w:rPr>
              <w:t>i</w:t>
            </w:r>
            <w:proofErr w:type="spellEnd"/>
            <w:r>
              <w:rPr>
                <w:b/>
                <w:bCs/>
                <w:i/>
                <w:iCs/>
              </w:rPr>
              <w:t xml:space="preserve"> </w:t>
            </w:r>
            <w:proofErr w:type="spellStart"/>
            <w:r>
              <w:rPr>
                <w:b/>
                <w:bCs/>
                <w:i/>
                <w:iCs/>
              </w:rPr>
              <w:t>ctcf_cordinates.bed</w:t>
            </w:r>
            <w:proofErr w:type="spellEnd"/>
            <w:r>
              <w:rPr>
                <w:b/>
                <w:bCs/>
                <w:i/>
                <w:iCs/>
              </w:rPr>
              <w:t xml:space="preserve"> &gt; </w:t>
            </w:r>
            <w:proofErr w:type="spellStart"/>
            <w:r>
              <w:rPr>
                <w:b/>
                <w:bCs/>
                <w:i/>
                <w:iCs/>
              </w:rPr>
              <w:t>sorted_ctcf_cordinates.bed</w:t>
            </w:r>
            <w:proofErr w:type="spellEnd"/>
          </w:p>
          <w:p w:rsidR="000B1FC7" w:rsidRDefault="0088510B">
            <w:pPr>
              <w:jc w:val="left"/>
            </w:pPr>
            <w:r>
              <w:t xml:space="preserve">3. Find complement of </w:t>
            </w:r>
            <w:proofErr w:type="spellStart"/>
            <w:r>
              <w:t>ctcf_cordinates</w:t>
            </w:r>
            <w:proofErr w:type="spellEnd"/>
            <w:r>
              <w:t xml:space="preserve"> by:</w:t>
            </w:r>
          </w:p>
          <w:p w:rsidR="000B1FC7" w:rsidRDefault="0088510B">
            <w:pPr>
              <w:jc w:val="left"/>
              <w:rPr>
                <w:b/>
                <w:bCs/>
                <w:i/>
                <w:iCs/>
              </w:rPr>
            </w:pPr>
            <w:proofErr w:type="spellStart"/>
            <w:r>
              <w:rPr>
                <w:b/>
                <w:bCs/>
                <w:i/>
                <w:iCs/>
              </w:rPr>
              <w:t>bedtools</w:t>
            </w:r>
            <w:proofErr w:type="spellEnd"/>
            <w:r>
              <w:rPr>
                <w:b/>
                <w:bCs/>
                <w:i/>
                <w:iCs/>
              </w:rPr>
              <w:t xml:space="preserve"> complement -</w:t>
            </w:r>
            <w:proofErr w:type="spellStart"/>
            <w:r>
              <w:rPr>
                <w:b/>
                <w:bCs/>
                <w:i/>
                <w:iCs/>
              </w:rPr>
              <w:t>i</w:t>
            </w:r>
            <w:proofErr w:type="spellEnd"/>
            <w:r>
              <w:rPr>
                <w:b/>
                <w:bCs/>
                <w:i/>
                <w:iCs/>
              </w:rPr>
              <w:t xml:space="preserve"> </w:t>
            </w:r>
            <w:proofErr w:type="spellStart"/>
            <w:r>
              <w:rPr>
                <w:b/>
                <w:bCs/>
                <w:i/>
                <w:iCs/>
              </w:rPr>
              <w:t>sorted_ctcf_cordinates.bed</w:t>
            </w:r>
            <w:proofErr w:type="spellEnd"/>
            <w:r>
              <w:rPr>
                <w:b/>
                <w:bCs/>
                <w:i/>
                <w:iCs/>
              </w:rPr>
              <w:t xml:space="preserve"> -g </w:t>
            </w:r>
            <w:proofErr w:type="spellStart"/>
            <w:r>
              <w:rPr>
                <w:b/>
                <w:bCs/>
                <w:i/>
                <w:iCs/>
              </w:rPr>
              <w:t>sorted_genome.bed</w:t>
            </w:r>
            <w:proofErr w:type="spellEnd"/>
            <w:r>
              <w:rPr>
                <w:b/>
                <w:bCs/>
                <w:i/>
                <w:iCs/>
              </w:rPr>
              <w:t xml:space="preserve"> &gt; </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roofErr w:type="spellStart"/>
            <w:r>
              <w:rPr>
                <w:b/>
                <w:bCs/>
                <w:i/>
                <w:iCs/>
              </w:rPr>
              <w:t>complement_cordinates.bed</w:t>
            </w:r>
            <w:proofErr w:type="spellEnd"/>
          </w:p>
          <w:p w:rsidR="000B1FC7" w:rsidRDefault="0088510B">
            <w:pPr>
              <w:jc w:val="left"/>
            </w:pPr>
            <w:r>
              <w:t>4. Get random 1000 coordinates with size 30 using:</w:t>
            </w:r>
          </w:p>
          <w:p w:rsidR="000B1FC7" w:rsidRDefault="0088510B">
            <w:pPr>
              <w:jc w:val="left"/>
              <w:rPr>
                <w:b/>
                <w:bCs/>
                <w:i/>
                <w:iCs/>
              </w:rPr>
            </w:pPr>
            <w:proofErr w:type="spellStart"/>
            <w:r>
              <w:rPr>
                <w:b/>
                <w:bCs/>
                <w:i/>
                <w:iCs/>
              </w:rPr>
              <w:t>bedtools</w:t>
            </w:r>
            <w:proofErr w:type="spellEnd"/>
            <w:r>
              <w:rPr>
                <w:b/>
                <w:bCs/>
                <w:i/>
                <w:iCs/>
              </w:rPr>
              <w:t xml:space="preserve"> random -g </w:t>
            </w:r>
            <w:proofErr w:type="spellStart"/>
            <w:r>
              <w:rPr>
                <w:b/>
                <w:bCs/>
                <w:i/>
                <w:iCs/>
              </w:rPr>
              <w:t>complement_cordinates.bed</w:t>
            </w:r>
            <w:proofErr w:type="spellEnd"/>
            <w:r>
              <w:rPr>
                <w:b/>
                <w:bCs/>
                <w:i/>
                <w:iCs/>
              </w:rPr>
              <w:t xml:space="preserve"> -n 1000 -l 30 &gt; </w:t>
            </w:r>
            <w:r>
              <w:rPr>
                <w:b/>
                <w:bCs/>
                <w:i/>
                <w:iCs/>
              </w:rPr>
              <w:br/>
              <w:t xml:space="preserve">                              </w:t>
            </w:r>
            <w:r>
              <w:rPr>
                <w:b/>
                <w:bCs/>
                <w:i/>
                <w:iCs/>
              </w:rPr>
              <w:t xml:space="preserve">             </w:t>
            </w:r>
            <w:proofErr w:type="spellStart"/>
            <w:r>
              <w:rPr>
                <w:b/>
                <w:bCs/>
                <w:i/>
                <w:iCs/>
              </w:rPr>
              <w:t>random_cordinates.bed</w:t>
            </w:r>
            <w:proofErr w:type="spellEnd"/>
          </w:p>
          <w:p w:rsidR="000B1FC7" w:rsidRDefault="0088510B">
            <w:pPr>
              <w:jc w:val="left"/>
            </w:pPr>
            <w:r>
              <w:t xml:space="preserve">5. To get </w:t>
            </w:r>
            <w:proofErr w:type="spellStart"/>
            <w:r>
              <w:t>fasta</w:t>
            </w:r>
            <w:proofErr w:type="spellEnd"/>
            <w:r>
              <w:t xml:space="preserve"> file for the random-</w:t>
            </w:r>
            <w:proofErr w:type="spellStart"/>
            <w:r>
              <w:t>cordinates</w:t>
            </w:r>
            <w:proofErr w:type="spellEnd"/>
            <w:r>
              <w:t xml:space="preserve">. </w:t>
            </w:r>
            <w:r>
              <w:t xml:space="preserve">Downloaded mm10 file from UCSC and converted </w:t>
            </w:r>
            <w:proofErr w:type="spellStart"/>
            <w:r>
              <w:t>twoBit</w:t>
            </w:r>
            <w:proofErr w:type="spellEnd"/>
            <w:r>
              <w:t xml:space="preserve"> file to </w:t>
            </w:r>
            <w:proofErr w:type="spellStart"/>
            <w:r>
              <w:t>fasta</w:t>
            </w:r>
            <w:proofErr w:type="spellEnd"/>
            <w:r>
              <w:t xml:space="preserve"> using:</w:t>
            </w:r>
          </w:p>
          <w:p w:rsidR="000B1FC7" w:rsidRDefault="0088510B">
            <w:pPr>
              <w:jc w:val="left"/>
              <w:rPr>
                <w:b/>
                <w:bCs/>
                <w:i/>
                <w:iCs/>
              </w:rPr>
            </w:pPr>
            <w:proofErr w:type="spellStart"/>
            <w:r>
              <w:rPr>
                <w:b/>
                <w:bCs/>
                <w:i/>
                <w:iCs/>
              </w:rPr>
              <w:t>twoBitToFa</w:t>
            </w:r>
            <w:proofErr w:type="spellEnd"/>
            <w:r>
              <w:rPr>
                <w:b/>
                <w:bCs/>
                <w:i/>
                <w:iCs/>
              </w:rPr>
              <w:t xml:space="preserve"> mm10.2bit mm10.fa</w:t>
            </w:r>
          </w:p>
          <w:p w:rsidR="000B1FC7" w:rsidRDefault="0088510B">
            <w:pPr>
              <w:jc w:val="left"/>
            </w:pPr>
            <w:r>
              <w:t xml:space="preserve">6. Extracted the </w:t>
            </w:r>
            <w:proofErr w:type="spellStart"/>
            <w:r>
              <w:t>fasta</w:t>
            </w:r>
            <w:proofErr w:type="spellEnd"/>
            <w:r>
              <w:t xml:space="preserve"> sequences using </w:t>
            </w:r>
            <w:proofErr w:type="spellStart"/>
            <w:r>
              <w:t>getFastaFromBed</w:t>
            </w:r>
            <w:proofErr w:type="spellEnd"/>
          </w:p>
          <w:p w:rsidR="000B1FC7" w:rsidRDefault="0088510B">
            <w:proofErr w:type="spellStart"/>
            <w:r>
              <w:rPr>
                <w:b/>
                <w:bCs/>
                <w:i/>
                <w:iCs/>
              </w:rPr>
              <w:t>bedtools</w:t>
            </w:r>
            <w:proofErr w:type="spellEnd"/>
            <w:r>
              <w:rPr>
                <w:b/>
                <w:bCs/>
                <w:i/>
                <w:iCs/>
              </w:rPr>
              <w:t xml:space="preserve"> </w:t>
            </w:r>
            <w:proofErr w:type="spellStart"/>
            <w:r>
              <w:rPr>
                <w:b/>
                <w:bCs/>
                <w:i/>
                <w:iCs/>
              </w:rPr>
              <w:t>getfast</w:t>
            </w:r>
            <w:r>
              <w:rPr>
                <w:b/>
                <w:bCs/>
                <w:i/>
                <w:iCs/>
              </w:rPr>
              <w:t>a</w:t>
            </w:r>
            <w:proofErr w:type="spellEnd"/>
            <w:r>
              <w:rPr>
                <w:b/>
                <w:bCs/>
                <w:i/>
                <w:iCs/>
              </w:rPr>
              <w:t xml:space="preserve"> -fi mm10.fa -bed </w:t>
            </w:r>
            <w:proofErr w:type="spellStart"/>
            <w:r>
              <w:rPr>
                <w:b/>
                <w:bCs/>
                <w:i/>
                <w:iCs/>
              </w:rPr>
              <w:t>random_cordinates.bed</w:t>
            </w:r>
            <w:proofErr w:type="spellEnd"/>
            <w:r>
              <w:rPr>
                <w:b/>
                <w:bCs/>
                <w:i/>
                <w:iCs/>
              </w:rPr>
              <w:t xml:space="preserve"> -</w:t>
            </w:r>
            <w:proofErr w:type="spellStart"/>
            <w:r>
              <w:rPr>
                <w:b/>
                <w:bCs/>
                <w:i/>
                <w:iCs/>
              </w:rPr>
              <w:t>fo</w:t>
            </w:r>
            <w:proofErr w:type="spellEnd"/>
            <w:r>
              <w:rPr>
                <w:b/>
                <w:bCs/>
                <w:i/>
                <w:iCs/>
              </w:rPr>
              <w:t xml:space="preserve"> </w:t>
            </w:r>
            <w:proofErr w:type="spellStart"/>
            <w:proofErr w:type="gramStart"/>
            <w:r>
              <w:rPr>
                <w:b/>
                <w:bCs/>
                <w:i/>
                <w:iCs/>
              </w:rPr>
              <w:t>unbound.fa</w:t>
            </w:r>
            <w:proofErr w:type="spellEnd"/>
            <w:proofErr w:type="gramEnd"/>
          </w:p>
        </w:tc>
      </w:tr>
    </w:tbl>
    <w:p w:rsidR="000B1FC7" w:rsidRDefault="0088510B">
      <w:pPr>
        <w:jc w:val="center"/>
      </w:pPr>
      <w:r>
        <w:rPr>
          <w:noProof/>
          <w:lang w:eastAsia="en-US"/>
        </w:rPr>
        <w:lastRenderedPageBreak/>
        <w:drawing>
          <wp:inline distT="0" distB="0" distL="114300" distR="114300">
            <wp:extent cx="3906317" cy="3906317"/>
            <wp:effectExtent l="0" t="0" r="0" b="0"/>
            <wp:docPr id="6" name="Picture 11" descr="AU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AUROC"/>
                    <pic:cNvPicPr>
                      <a:picLocks noChangeAspect="1"/>
                    </pic:cNvPicPr>
                  </pic:nvPicPr>
                  <pic:blipFill>
                    <a:blip r:embed="rId14"/>
                    <a:stretch>
                      <a:fillRect/>
                    </a:stretch>
                  </pic:blipFill>
                  <pic:spPr>
                    <a:xfrm>
                      <a:off x="0" y="0"/>
                      <a:ext cx="3912163" cy="3912163"/>
                    </a:xfrm>
                    <a:prstGeom prst="rect">
                      <a:avLst/>
                    </a:prstGeom>
                    <a:noFill/>
                    <a:ln w="9525">
                      <a:noFill/>
                      <a:miter/>
                    </a:ln>
                  </pic:spPr>
                </pic:pic>
              </a:graphicData>
            </a:graphic>
          </wp:inline>
        </w:drawing>
      </w:r>
    </w:p>
    <w:p w:rsidR="000B1FC7" w:rsidRDefault="0088510B">
      <w:pPr>
        <w:jc w:val="center"/>
      </w:pPr>
      <w:r>
        <w:t>Figure 6: AUROC curve</w:t>
      </w:r>
    </w:p>
    <w:p w:rsidR="000B1FC7" w:rsidRDefault="000B1FC7"/>
    <w:p w:rsidR="000B1FC7" w:rsidRDefault="0088510B">
      <w:r>
        <w:t xml:space="preserve">B) </w:t>
      </w:r>
    </w:p>
    <w:p w:rsidR="000B1FC7" w:rsidRDefault="0088510B">
      <w:r>
        <w:t xml:space="preserve">AUROC plot shown in figure 6. </w:t>
      </w:r>
    </w:p>
    <w:p w:rsidR="000B1FC7" w:rsidRDefault="0088510B">
      <w:r>
        <w:t>Code: Q</w:t>
      </w:r>
      <w:proofErr w:type="gramStart"/>
      <w:r>
        <w:t>8.R</w:t>
      </w:r>
      <w:proofErr w:type="gramEnd"/>
    </w:p>
    <w:p w:rsidR="000B1FC7" w:rsidRDefault="0088510B">
      <w:r>
        <w:t xml:space="preserve">Logistic regression model was built for 1mer and 1mer+shape. </w:t>
      </w:r>
    </w:p>
    <w:p w:rsidR="000B1FC7" w:rsidRDefault="0088510B">
      <w:pPr>
        <w:numPr>
          <w:ilvl w:val="0"/>
          <w:numId w:val="5"/>
        </w:numPr>
      </w:pPr>
      <w:r>
        <w:t>Area under the curve for sequence model: 0.83049</w:t>
      </w:r>
    </w:p>
    <w:p w:rsidR="000B1FC7" w:rsidRDefault="0088510B">
      <w:pPr>
        <w:numPr>
          <w:ilvl w:val="0"/>
          <w:numId w:val="5"/>
        </w:numPr>
      </w:pPr>
      <w:r>
        <w:t xml:space="preserve">Area under the </w:t>
      </w:r>
      <w:r>
        <w:t>curve for sequence + shape model: 0.825897</w:t>
      </w:r>
    </w:p>
    <w:p w:rsidR="0088510B" w:rsidRDefault="0088510B">
      <w:bookmarkStart w:id="0" w:name="_GoBack"/>
      <w:bookmarkEnd w:id="0"/>
    </w:p>
    <w:p w:rsidR="000B1FC7" w:rsidRDefault="0088510B">
      <w:r>
        <w:t>C)</w:t>
      </w:r>
    </w:p>
    <w:p w:rsidR="000B1FC7" w:rsidRDefault="0088510B">
      <w:r>
        <w:t xml:space="preserve">The area under the curve for both the model are almost same. When we include the shape factor, we expect to get a better prediction for the binding sites. But here the small sample size of 1000 sequences each </w:t>
      </w:r>
      <w:r>
        <w:t xml:space="preserve">of length 30 </w:t>
      </w:r>
      <w:proofErr w:type="spellStart"/>
      <w:r>
        <w:t>nt</w:t>
      </w:r>
      <w:proofErr w:type="spellEnd"/>
      <w:r>
        <w:t xml:space="preserve"> might have affected our prediction.</w:t>
      </w:r>
    </w:p>
    <w:sectPr w:rsidR="000B1FC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iberation Sans">
    <w:charset w:val="00"/>
    <w:family w:val="auto"/>
    <w:pitch w:val="default"/>
    <w:sig w:usb0="A00002AF" w:usb1="500078FB" w:usb2="00000000" w:usb3="00000000" w:csb0="6000009F" w:csb1="DFD70000"/>
  </w:font>
  <w:font w:name="Cambria">
    <w:altName w:val="Calade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9B84"/>
    <w:multiLevelType w:val="singleLevel"/>
    <w:tmpl w:val="572A9B8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72A9EA6"/>
    <w:multiLevelType w:val="singleLevel"/>
    <w:tmpl w:val="572A9EA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72FF7BC"/>
    <w:multiLevelType w:val="singleLevel"/>
    <w:tmpl w:val="572FF7BC"/>
    <w:lvl w:ilvl="0">
      <w:start w:val="1"/>
      <w:numFmt w:val="upperLetter"/>
      <w:suff w:val="space"/>
      <w:lvlText w:val="%1)"/>
      <w:lvlJc w:val="left"/>
    </w:lvl>
  </w:abstractNum>
  <w:abstractNum w:abstractNumId="3" w15:restartNumberingAfterBreak="0">
    <w:nsid w:val="573048D2"/>
    <w:multiLevelType w:val="singleLevel"/>
    <w:tmpl w:val="573048D2"/>
    <w:lvl w:ilvl="0">
      <w:start w:val="1"/>
      <w:numFmt w:val="upperLetter"/>
      <w:suff w:val="space"/>
      <w:lvlText w:val="%1)"/>
      <w:lvlJc w:val="left"/>
    </w:lvl>
  </w:abstractNum>
  <w:abstractNum w:abstractNumId="4" w15:restartNumberingAfterBreak="0">
    <w:nsid w:val="57304C1C"/>
    <w:multiLevelType w:val="singleLevel"/>
    <w:tmpl w:val="57304C1C"/>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39556"/>
    <w:rsid w:val="1FBF8C22"/>
    <w:rsid w:val="3EF331F4"/>
    <w:rsid w:val="3F7F5E8E"/>
    <w:rsid w:val="4F77777A"/>
    <w:rsid w:val="63DF6561"/>
    <w:rsid w:val="661325F6"/>
    <w:rsid w:val="6EBF81A4"/>
    <w:rsid w:val="71771B0F"/>
    <w:rsid w:val="71FDAE77"/>
    <w:rsid w:val="7463C8D6"/>
    <w:rsid w:val="77F7939D"/>
    <w:rsid w:val="7ABEFBF5"/>
    <w:rsid w:val="7E7E1088"/>
    <w:rsid w:val="7F4ED8CF"/>
    <w:rsid w:val="7F539556"/>
    <w:rsid w:val="7FFDFA21"/>
    <w:rsid w:val="7FFEFB81"/>
    <w:rsid w:val="9E9DA12A"/>
    <w:rsid w:val="9FEC6980"/>
    <w:rsid w:val="A9BF269E"/>
    <w:rsid w:val="B7F7A956"/>
    <w:rsid w:val="B7F8C59D"/>
    <w:rsid w:val="BFBB565C"/>
    <w:rsid w:val="BFD7A495"/>
    <w:rsid w:val="CFD7E1B2"/>
    <w:rsid w:val="CFF712B5"/>
    <w:rsid w:val="DAFF8968"/>
    <w:rsid w:val="DBF257E1"/>
    <w:rsid w:val="DDBF6D90"/>
    <w:rsid w:val="DFBF36A2"/>
    <w:rsid w:val="DFF7A9BB"/>
    <w:rsid w:val="E417C96D"/>
    <w:rsid w:val="EF5FD12A"/>
    <w:rsid w:val="F16BCE6F"/>
    <w:rsid w:val="F4EE3EED"/>
    <w:rsid w:val="F5FDDC77"/>
    <w:rsid w:val="FAFABC29"/>
    <w:rsid w:val="FB9ECD58"/>
    <w:rsid w:val="FF3E80AD"/>
    <w:rsid w:val="FFD922E2"/>
    <w:rsid w:val="FFDF87D0"/>
    <w:rsid w:val="FFFF0132"/>
    <w:rsid w:val="000B1FC7"/>
    <w:rsid w:val="0088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B4C98"/>
  <w15:docId w15:val="{D5AEC851-2657-4349-B163-E632A417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spacing w:line="360" w:lineRule="auto"/>
      <w:jc w:val="both"/>
    </w:pPr>
    <w:rPr>
      <w:kern w:val="2"/>
      <w:sz w:val="24"/>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Title">
    <w:name w:val="Title"/>
    <w:basedOn w:val="Normal"/>
    <w:next w:val="Normal"/>
    <w:qFormat/>
    <w:pPr>
      <w:widowControl/>
      <w:contextualSpacing/>
    </w:pPr>
    <w:rPr>
      <w:rFonts w:eastAsia="Times New Roman"/>
      <w:b/>
      <w:kern w:val="28"/>
      <w:sz w:val="32"/>
      <w:szCs w:val="56"/>
      <w:lang w:eastAsia="en-US"/>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Binding_sit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DNA_sequencing"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atin_immunoprecipita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2016-05-04T13:04:00Z</dcterms:created>
  <dcterms:modified xsi:type="dcterms:W3CDTF">2016-05-09T21:57:00Z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