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Georgia" w:cs="Georgia" w:eastAsia="Georgia" w:hAnsi="Georgia"/>
          <w:i/>
          <w:iCs/>
          <w:color w:val="A0AEC0"/>
          <w:sz w:val="26"/>
          <w:szCs w:val="26"/>
        </w:rPr>
        <w:t xml:space="preserve">[INSTITUTION / UNIVERSITY NAME]</w:t>
      </w:r>
    </w:p>
    <w:p>
      <w:pPr>
        <w:spacing w:after="0" w:before="40"/>
        <w:jc w:val="center"/>
      </w:pPr>
      <w:r>
        <w:rPr>
          <w:rFonts w:ascii="Georgia" w:cs="Georgia" w:eastAsia="Georgia" w:hAnsi="Georgia"/>
          <w:i/>
          <w:iCs/>
          <w:color w:val="A0AEC0"/>
          <w:sz w:val="24"/>
          <w:szCs w:val="24"/>
        </w:rPr>
        <w:t xml:space="preserve">[DEPARTMENT / PROGRAM]</w:t>
      </w:r>
    </w:p>
    <w:p>
      <w:pPr>
        <w:spacing w:after="500" w:before="500"/>
      </w:pPr>
      <w:r>
        <w:t xml:space="preserve"/>
      </w:r>
    </w:p>
    <w:p>
      <w:pPr>
        <w:pBdr>
          <w:top w:val="single" w:color="C9A84C" w:sz="12" w:space="10"/>
          <w:bottom w:val="single" w:color="C9A84C" w:sz="12" w:space="10"/>
        </w:pBdr>
        <w:spacing w:after="80" w:before="80"/>
        <w:jc w:val="center"/>
      </w:pPr>
      <w:r>
        <w:rPr>
          <w:rFonts w:ascii="Georgia" w:cs="Georgia" w:eastAsia="Georgia" w:hAnsi="Georgia"/>
          <w:b/>
          <w:bCs/>
          <w:color w:val="0A1628"/>
          <w:sz w:val="68"/>
          <w:szCs w:val="68"/>
        </w:rPr>
        <w:t xml:space="preserve">NEXT GENERATION SUPPLY CHAIN</w:t>
      </w:r>
    </w:p>
    <w:p>
      <w:pPr>
        <w:spacing w:after="20" w:before="20"/>
        <w:jc w:val="center"/>
      </w:pPr>
      <w:r>
        <w:rPr>
          <w:rFonts w:ascii="Georgia" w:cs="Georgia" w:eastAsia="Georgia" w:hAnsi="Georgia"/>
          <w:b/>
          <w:bCs/>
          <w:color w:val="C9A84C"/>
          <w:sz w:val="38"/>
          <w:szCs w:val="38"/>
        </w:rPr>
        <w:t xml:space="preserve">Analytics Dashboard Report</w:t>
      </w:r>
    </w:p>
    <w:p>
      <w:pPr>
        <w:spacing w:after="0" w:before="16"/>
        <w:jc w:val="center"/>
      </w:pPr>
      <w:r>
        <w:rPr>
          <w:rFonts w:ascii="Georgia" w:cs="Georgia" w:eastAsia="Georgia" w:hAnsi="Georgia"/>
          <w:i/>
          <w:iCs/>
          <w:color w:val="4A5568"/>
          <w:sz w:val="26"/>
          <w:szCs w:val="26"/>
        </w:rPr>
        <w:t xml:space="preserve">Pharmaceutical Supply Chain Performance Analysis</w:t>
      </w:r>
    </w:p>
    <w:p>
      <w:pPr>
        <w:spacing w:after="300" w:before="300"/>
      </w:pPr>
      <w:r>
        <w:t xml:space="preserve"/>
      </w:r>
    </w:p>
    <w:p>
      <w:pPr>
        <w:spacing w:after="40" w:before="0"/>
        <w:jc w:val="center"/>
      </w:pPr>
      <w:r>
        <w:rPr>
          <w:rFonts w:ascii="Calibri" w:cs="Calibri" w:eastAsia="Calibri" w:hAnsi="Calibri"/>
          <w:color w:val="A0AEC0"/>
          <w:sz w:val="20"/>
          <w:szCs w:val="20"/>
        </w:rPr>
        <w:t xml:space="preserve">Powered by Microsoft Power BI  —  Data Source: SCMS Delivery History (Kaggle)</w:t>
      </w:r>
    </w:p>
    <w:p>
      <w:pPr>
        <w:spacing w:after="320" w:before="320"/>
      </w:pPr>
      <w:r>
        <w:t xml:space="preserve"/>
      </w:r>
    </w:p>
    <w:p>
      <w:pPr>
        <w:spacing w:after="40" w:before="0"/>
        <w:jc w:val="center"/>
      </w:pPr>
      <w:r>
        <w:rPr>
          <w:rFonts w:ascii="Calibri" w:cs="Calibri" w:eastAsia="Calibri" w:hAnsi="Calibri"/>
          <w:color w:val="4A5568"/>
          <w:sz w:val="22"/>
          <w:szCs w:val="22"/>
        </w:rPr>
        <w:t xml:space="preserve">Prepared by:</w:t>
      </w:r>
    </w:p>
    <w:p>
      <w:pPr>
        <w:spacing w:after="20" w:before="0"/>
        <w:jc w:val="center"/>
      </w:pPr>
      <w:r>
        <w:rPr>
          <w:rFonts w:ascii="Georgia" w:cs="Georgia" w:eastAsia="Georgia" w:hAnsi="Georgia"/>
          <w:b/>
          <w:bCs/>
          <w:color w:val="0A1628"/>
          <w:sz w:val="28"/>
          <w:szCs w:val="28"/>
        </w:rPr>
        <w:t xml:space="preserve">[YOUR FULL NAME]</w:t>
      </w:r>
    </w:p>
    <w:p>
      <w:pPr>
        <w:spacing w:after="20" w:before="0"/>
        <w:jc w:val="center"/>
      </w:pPr>
      <w:r>
        <w:rPr>
          <w:rFonts w:ascii="Calibri" w:cs="Calibri" w:eastAsia="Calibri" w:hAnsi="Calibri"/>
          <w:i/>
          <w:iCs/>
          <w:color w:val="4A5568"/>
          <w:sz w:val="22"/>
          <w:szCs w:val="22"/>
        </w:rPr>
        <w:t xml:space="preserve">[STUDENT ID / POSITION]</w:t>
      </w:r>
    </w:p>
    <w:p>
      <w:pPr>
        <w:spacing w:after="20" w:before="0"/>
        <w:jc w:val="center"/>
      </w:pPr>
      <w:r>
        <w:rPr>
          <w:rFonts w:ascii="Calibri" w:cs="Calibri" w:eastAsia="Calibri" w:hAnsi="Calibri"/>
          <w:i/>
          <w:iCs/>
          <w:color w:val="4A5568"/>
          <w:sz w:val="22"/>
          <w:szCs w:val="22"/>
        </w:rPr>
        <w:t xml:space="preserve">[SUPERVISOR / PROFESSOR NAME]</w:t>
      </w:r>
    </w:p>
    <w:p>
      <w:pPr>
        <w:spacing w:after="200" w:before="200"/>
      </w:pPr>
      <w:r>
        <w:t xml:space="preserve"/>
      </w:r>
    </w:p>
    <w:p>
      <w:pPr>
        <w:spacing w:after="0" w:before="0"/>
        <w:jc w:val="center"/>
      </w:pPr>
      <w:r>
        <w:rPr>
          <w:rFonts w:ascii="Calibri" w:cs="Calibri" w:eastAsia="Calibri" w:hAnsi="Calibri"/>
          <w:color w:val="A0AEC0"/>
          <w:sz w:val="20"/>
          <w:szCs w:val="20"/>
        </w:rPr>
        <w:t xml:space="preserve">Academic Year: [YEAR]   —   Submission Date: [DATE]</w:t>
      </w:r>
    </w:p>
    <w:p>
      <w:r>
        <w:br w:type="page"/>
      </w:r>
    </w:p>
    <w:p>
      <w:pPr>
        <w:pBdr>
          <w:bottom w:val="single" w:color="C9A84C" w:sz="10" w:space="8"/>
        </w:pBdr>
        <w:spacing w:after="60" w:before="400"/>
        <w:jc w:val="center"/>
      </w:pPr>
      <w:r>
        <w:rPr>
          <w:rFonts w:ascii="Georgia" w:cs="Georgia" w:eastAsia="Georgia" w:hAnsi="Georgia"/>
          <w:b/>
          <w:bCs/>
          <w:color w:val="0A1628"/>
          <w:sz w:val="44"/>
          <w:szCs w:val="44"/>
        </w:rPr>
        <w:t xml:space="preserve">ACKNOWLEDGEMENTS</w:t>
      </w:r>
    </w:p>
    <w:p>
      <w:pPr>
        <w:spacing w:after="200" w:before="200"/>
      </w:pPr>
      <w:r>
        <w:t xml:space="preserve"/>
      </w:r>
    </w:p>
    <w:p>
      <w:pPr>
        <w:spacing w:after="100" w:before="80"/>
      </w:pPr>
      <w:r>
        <w:rPr>
          <w:rFonts w:ascii="Calibri" w:cs="Calibri" w:eastAsia="Calibri" w:hAnsi="Calibri"/>
          <w:color w:val="4A5568"/>
          <w:sz w:val="22"/>
          <w:szCs w:val="22"/>
        </w:rPr>
        <w:t xml:space="preserve">First and foremost, I would like to express my sincere gratitude to [Supervisor/Professor Name] for their invaluable guidance, continuous support, and insightful feedback throughout the course of this project. Their expertise in supply chain analytics and data visualization has been instrumental in shaping the direction and quality of this work.</w:t>
      </w:r>
    </w:p>
    <w:p>
      <w:pPr>
        <w:spacing w:after="80" w:before="80"/>
      </w:pPr>
      <w:r>
        <w:t xml:space="preserve"/>
      </w:r>
    </w:p>
    <w:p>
      <w:pPr>
        <w:spacing w:after="100" w:before="80"/>
      </w:pPr>
      <w:r>
        <w:rPr>
          <w:rFonts w:ascii="Calibri" w:cs="Calibri" w:eastAsia="Calibri" w:hAnsi="Calibri"/>
          <w:color w:val="4A5568"/>
          <w:sz w:val="22"/>
          <w:szCs w:val="22"/>
        </w:rPr>
        <w:t xml:space="preserve">I am equally grateful to the [Department/Faculty Name] for providing the academic framework and resources that made this project possible. The knowledge and skills acquired throughout the program have been essential to the successful completion of this analytical dashboard.</w:t>
      </w:r>
    </w:p>
    <w:p>
      <w:pPr>
        <w:spacing w:after="80" w:before="80"/>
      </w:pPr>
      <w:r>
        <w:t xml:space="preserve"/>
      </w:r>
    </w:p>
    <w:p>
      <w:pPr>
        <w:spacing w:after="100" w:before="80"/>
      </w:pPr>
      <w:r>
        <w:rPr>
          <w:rFonts w:ascii="Calibri" w:cs="Calibri" w:eastAsia="Calibri" w:hAnsi="Calibri"/>
          <w:color w:val="4A5568"/>
          <w:sz w:val="22"/>
          <w:szCs w:val="22"/>
        </w:rPr>
        <w:t xml:space="preserve">Special thanks are extended to the open-source community and the Kaggle platform for making the SCMS (Supply Chain Management System) Delivery History dataset publicly available. This dataset, originating from the PEPFAR (President's Emergency Plan for AIDS Relief) program and managed by USAID, provided a rich and realistic foundation for this supply chain analysis.</w:t>
      </w:r>
    </w:p>
    <w:p>
      <w:pPr>
        <w:spacing w:after="80" w:before="80"/>
      </w:pPr>
      <w:r>
        <w:t xml:space="preserve"/>
      </w:r>
    </w:p>
    <w:p>
      <w:pPr>
        <w:spacing w:after="100" w:before="80"/>
      </w:pPr>
      <w:r>
        <w:rPr>
          <w:rFonts w:ascii="Calibri" w:cs="Calibri" w:eastAsia="Calibri" w:hAnsi="Calibri"/>
          <w:color w:val="4A5568"/>
          <w:sz w:val="22"/>
          <w:szCs w:val="22"/>
        </w:rPr>
        <w:t xml:space="preserve">I would also like to acknowledge Microsoft Power BI's development team for creating a powerful and accessible business intelligence platform that enabled the creation of the interactive dashboard presented in this report.</w:t>
      </w:r>
    </w:p>
    <w:p>
      <w:pPr>
        <w:spacing w:after="80" w:before="80"/>
      </w:pPr>
      <w:r>
        <w:t xml:space="preserve"/>
      </w:r>
    </w:p>
    <w:p>
      <w:pPr>
        <w:spacing w:after="100" w:before="80"/>
      </w:pPr>
      <w:r>
        <w:rPr>
          <w:rFonts w:ascii="Calibri" w:cs="Calibri" w:eastAsia="Calibri" w:hAnsi="Calibri"/>
          <w:color w:val="4A5568"/>
          <w:sz w:val="22"/>
          <w:szCs w:val="22"/>
        </w:rPr>
        <w:t xml:space="preserve">Finally, I extend my heartfelt appreciation to [family/friends/colleagues] for their moral support, encouragement, and patience during the preparation of this report.</w:t>
      </w:r>
    </w:p>
    <w:p>
      <w:pPr>
        <w:spacing w:after="200" w:before="200"/>
      </w:pPr>
      <w:r>
        <w:t xml:space="preserve"/>
      </w:r>
    </w:p>
    <w:p>
      <w:pPr>
        <w:spacing w:after="0" w:before="80"/>
        <w:jc w:val="right"/>
      </w:pPr>
      <w:r>
        <w:rPr>
          <w:rFonts w:ascii="Georgia" w:cs="Georgia" w:eastAsia="Georgia" w:hAnsi="Georgia"/>
          <w:i/>
          <w:iCs/>
          <w:color w:val="4A5568"/>
          <w:sz w:val="22"/>
          <w:szCs w:val="22"/>
        </w:rPr>
        <w:t xml:space="preserve">[Your Name]</w:t>
      </w:r>
    </w:p>
    <w:p>
      <w:pPr>
        <w:spacing w:after="0" w:before="0"/>
        <w:jc w:val="right"/>
      </w:pPr>
      <w:r>
        <w:rPr>
          <w:rFonts w:ascii="Calibri" w:cs="Calibri" w:eastAsia="Calibri" w:hAnsi="Calibri"/>
          <w:i/>
          <w:iCs/>
          <w:color w:val="A0AEC0"/>
          <w:sz w:val="22"/>
          <w:szCs w:val="22"/>
        </w:rPr>
        <w:t xml:space="preserve">[Date]</w:t>
      </w:r>
    </w:p>
    <w:p>
      <w:r>
        <w:br w:type="page"/>
      </w:r>
    </w:p>
    <w:p>
      <w:pPr>
        <w:pBdr>
          <w:bottom w:val="single" w:color="C9A84C" w:sz="10" w:space="8"/>
        </w:pBdr>
        <w:spacing w:after="60" w:before="200"/>
        <w:jc w:val="center"/>
      </w:pPr>
      <w:r>
        <w:rPr>
          <w:rFonts w:ascii="Georgia" w:cs="Georgia" w:eastAsia="Georgia" w:hAnsi="Georgia"/>
          <w:b/>
          <w:bCs/>
          <w:color w:val="0A1628"/>
          <w:sz w:val="44"/>
          <w:szCs w:val="44"/>
        </w:rPr>
        <w:t xml:space="preserve">TABLE OF CONTENTS</w:t>
      </w:r>
    </w:p>
    <w:p>
      <w:pPr>
        <w:spacing w:after="160" w:before="160"/>
      </w:pPr>
      <w:r>
        <w:t xml:space="preserve"/>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1.  Introduction</w:t>
      </w:r>
      <w:r>
        <w:rPr>
          <w:rFonts w:ascii="Calibri" w:cs="Calibri" w:eastAsia="Calibri" w:hAnsi="Calibri"/>
          <w:b/>
          <w:bCs/>
          <w:color w:val="C9A84C"/>
          <w:sz w:val="20"/>
          <w:szCs w:val="20"/>
        </w:rPr>
        <w:t xml:space="preserve">	4</w:t>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2.  Problem Statement &amp; Solution</w:t>
      </w:r>
      <w:r>
        <w:rPr>
          <w:rFonts w:ascii="Calibri" w:cs="Calibri" w:eastAsia="Calibri" w:hAnsi="Calibri"/>
          <w:b/>
          <w:bCs/>
          <w:color w:val="C9A84C"/>
          <w:sz w:val="20"/>
          <w:szCs w:val="20"/>
        </w:rPr>
        <w:t xml:space="preserve">	5</w:t>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3.  Key Performance Indicators (KPIs)</w:t>
      </w:r>
      <w:r>
        <w:rPr>
          <w:rFonts w:ascii="Calibri" w:cs="Calibri" w:eastAsia="Calibri" w:hAnsi="Calibri"/>
          <w:b/>
          <w:bCs/>
          <w:color w:val="C9A84C"/>
          <w:sz w:val="20"/>
          <w:szCs w:val="20"/>
        </w:rPr>
        <w:t xml:space="preserve">	6</w:t>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4.  Dashboard Overview</w:t>
      </w:r>
      <w:r>
        <w:rPr>
          <w:rFonts w:ascii="Calibri" w:cs="Calibri" w:eastAsia="Calibri" w:hAnsi="Calibri"/>
          <w:b/>
          <w:bCs/>
          <w:color w:val="C9A84C"/>
          <w:sz w:val="20"/>
          <w:szCs w:val="20"/>
        </w:rPr>
        <w:t xml:space="preserve">	7</w:t>
      </w:r>
    </w:p>
    <w:p>
      <w:pPr>
        <w:tabs>
          <w:tab w:val="right" w:pos="9000" w:leader="dot"/>
        </w:tabs>
        <w:spacing w:after="50" w:before="50"/>
        <w:ind w:left="360"/>
      </w:pPr>
      <w:r>
        <w:rPr>
          <w:rFonts w:ascii="Calibri" w:cs="Calibri" w:eastAsia="Calibri" w:hAnsi="Calibri"/>
          <w:b w:val="false"/>
          <w:bCs w:val="false"/>
          <w:color w:val="4A5568"/>
          <w:sz w:val="20"/>
          <w:szCs w:val="20"/>
        </w:rPr>
        <w:t xml:space="preserve">4.1  Dashboard Page: Pharmaceutical Supply Chain</w:t>
      </w:r>
      <w:r>
        <w:rPr>
          <w:rFonts w:ascii="Calibri" w:cs="Calibri" w:eastAsia="Calibri" w:hAnsi="Calibri"/>
          <w:b w:val="false"/>
          <w:bCs w:val="false"/>
          <w:color w:val="A0AEC0"/>
          <w:sz w:val="20"/>
          <w:szCs w:val="20"/>
        </w:rPr>
        <w:t xml:space="preserve">	7</w:t>
      </w:r>
    </w:p>
    <w:p>
      <w:pPr>
        <w:tabs>
          <w:tab w:val="right" w:pos="9000" w:leader="dot"/>
        </w:tabs>
        <w:spacing w:after="50" w:before="50"/>
        <w:ind w:left="360"/>
      </w:pPr>
      <w:r>
        <w:rPr>
          <w:rFonts w:ascii="Calibri" w:cs="Calibri" w:eastAsia="Calibri" w:hAnsi="Calibri"/>
          <w:b w:val="false"/>
          <w:bCs w:val="false"/>
          <w:color w:val="4A5568"/>
          <w:sz w:val="20"/>
          <w:szCs w:val="20"/>
        </w:rPr>
        <w:t xml:space="preserve">4.2  Visual 1 — KPI Cards (5 Cards)</w:t>
      </w:r>
      <w:r>
        <w:rPr>
          <w:rFonts w:ascii="Calibri" w:cs="Calibri" w:eastAsia="Calibri" w:hAnsi="Calibri"/>
          <w:b w:val="false"/>
          <w:bCs w:val="false"/>
          <w:color w:val="A0AEC0"/>
          <w:sz w:val="20"/>
          <w:szCs w:val="20"/>
        </w:rPr>
        <w:t xml:space="preserve">	8</w:t>
      </w:r>
    </w:p>
    <w:p>
      <w:pPr>
        <w:tabs>
          <w:tab w:val="right" w:pos="9000" w:leader="dot"/>
        </w:tabs>
        <w:spacing w:after="50" w:before="50"/>
        <w:ind w:left="360"/>
      </w:pPr>
      <w:r>
        <w:rPr>
          <w:rFonts w:ascii="Calibri" w:cs="Calibri" w:eastAsia="Calibri" w:hAnsi="Calibri"/>
          <w:b w:val="false"/>
          <w:bCs w:val="false"/>
          <w:color w:val="4A5568"/>
          <w:sz w:val="20"/>
          <w:szCs w:val="20"/>
        </w:rPr>
        <w:t xml:space="preserve">4.3  Visual 2 — Line Chart: Freight Cost Over Time</w:t>
      </w:r>
      <w:r>
        <w:rPr>
          <w:rFonts w:ascii="Calibri" w:cs="Calibri" w:eastAsia="Calibri" w:hAnsi="Calibri"/>
          <w:b w:val="false"/>
          <w:bCs w:val="false"/>
          <w:color w:val="A0AEC0"/>
          <w:sz w:val="20"/>
          <w:szCs w:val="20"/>
        </w:rPr>
        <w:t xml:space="preserve">	8</w:t>
      </w:r>
    </w:p>
    <w:p>
      <w:pPr>
        <w:tabs>
          <w:tab w:val="right" w:pos="9000" w:leader="dot"/>
        </w:tabs>
        <w:spacing w:after="50" w:before="50"/>
        <w:ind w:left="360"/>
      </w:pPr>
      <w:r>
        <w:rPr>
          <w:rFonts w:ascii="Calibri" w:cs="Calibri" w:eastAsia="Calibri" w:hAnsi="Calibri"/>
          <w:b w:val="false"/>
          <w:bCs w:val="false"/>
          <w:color w:val="4A5568"/>
          <w:sz w:val="20"/>
          <w:szCs w:val="20"/>
        </w:rPr>
        <w:t xml:space="preserve">4.4  Visual 3 — Column Chart: Shipments by Country</w:t>
      </w:r>
      <w:r>
        <w:rPr>
          <w:rFonts w:ascii="Calibri" w:cs="Calibri" w:eastAsia="Calibri" w:hAnsi="Calibri"/>
          <w:b w:val="false"/>
          <w:bCs w:val="false"/>
          <w:color w:val="A0AEC0"/>
          <w:sz w:val="20"/>
          <w:szCs w:val="20"/>
        </w:rPr>
        <w:t xml:space="preserve">	9</w:t>
      </w:r>
    </w:p>
    <w:p>
      <w:pPr>
        <w:tabs>
          <w:tab w:val="right" w:pos="9000" w:leader="dot"/>
        </w:tabs>
        <w:spacing w:after="50" w:before="50"/>
        <w:ind w:left="360"/>
      </w:pPr>
      <w:r>
        <w:rPr>
          <w:rFonts w:ascii="Calibri" w:cs="Calibri" w:eastAsia="Calibri" w:hAnsi="Calibri"/>
          <w:b w:val="false"/>
          <w:bCs w:val="false"/>
          <w:color w:val="4A5568"/>
          <w:sz w:val="20"/>
          <w:szCs w:val="20"/>
        </w:rPr>
        <w:t xml:space="preserve">4.5  Visual 4 — Donut Chart: Shipment Mode Distribution</w:t>
      </w:r>
      <w:r>
        <w:rPr>
          <w:rFonts w:ascii="Calibri" w:cs="Calibri" w:eastAsia="Calibri" w:hAnsi="Calibri"/>
          <w:b w:val="false"/>
          <w:bCs w:val="false"/>
          <w:color w:val="A0AEC0"/>
          <w:sz w:val="20"/>
          <w:szCs w:val="20"/>
        </w:rPr>
        <w:t xml:space="preserve">	9</w:t>
      </w:r>
    </w:p>
    <w:p>
      <w:pPr>
        <w:tabs>
          <w:tab w:val="right" w:pos="9000" w:leader="dot"/>
        </w:tabs>
        <w:spacing w:after="50" w:before="50"/>
        <w:ind w:left="360"/>
      </w:pPr>
      <w:r>
        <w:rPr>
          <w:rFonts w:ascii="Calibri" w:cs="Calibri" w:eastAsia="Calibri" w:hAnsi="Calibri"/>
          <w:b w:val="false"/>
          <w:bCs w:val="false"/>
          <w:color w:val="4A5568"/>
          <w:sz w:val="20"/>
          <w:szCs w:val="20"/>
        </w:rPr>
        <w:t xml:space="preserve">4.6  Visual 5 — Clustered Bar Chart: Delay by Category</w:t>
      </w:r>
      <w:r>
        <w:rPr>
          <w:rFonts w:ascii="Calibri" w:cs="Calibri" w:eastAsia="Calibri" w:hAnsi="Calibri"/>
          <w:b w:val="false"/>
          <w:bCs w:val="false"/>
          <w:color w:val="A0AEC0"/>
          <w:sz w:val="20"/>
          <w:szCs w:val="20"/>
        </w:rPr>
        <w:t xml:space="preserve">	10</w:t>
      </w:r>
    </w:p>
    <w:p>
      <w:pPr>
        <w:tabs>
          <w:tab w:val="right" w:pos="9000" w:leader="dot"/>
        </w:tabs>
        <w:spacing w:after="50" w:before="50"/>
        <w:ind w:left="360"/>
      </w:pPr>
      <w:r>
        <w:rPr>
          <w:rFonts w:ascii="Calibri" w:cs="Calibri" w:eastAsia="Calibri" w:hAnsi="Calibri"/>
          <w:b w:val="false"/>
          <w:bCs w:val="false"/>
          <w:color w:val="4A5568"/>
          <w:sz w:val="20"/>
          <w:szCs w:val="20"/>
        </w:rPr>
        <w:t xml:space="preserve">4.7  Visual 6 — Scatter Chart: Weight vs Freight Cost</w:t>
      </w:r>
      <w:r>
        <w:rPr>
          <w:rFonts w:ascii="Calibri" w:cs="Calibri" w:eastAsia="Calibri" w:hAnsi="Calibri"/>
          <w:b w:val="false"/>
          <w:bCs w:val="false"/>
          <w:color w:val="A0AEC0"/>
          <w:sz w:val="20"/>
          <w:szCs w:val="20"/>
        </w:rPr>
        <w:t xml:space="preserve">	10</w:t>
      </w:r>
    </w:p>
    <w:p>
      <w:pPr>
        <w:tabs>
          <w:tab w:val="right" w:pos="9000" w:leader="dot"/>
        </w:tabs>
        <w:spacing w:after="50" w:before="50"/>
        <w:ind w:left="360"/>
      </w:pPr>
      <w:r>
        <w:rPr>
          <w:rFonts w:ascii="Calibri" w:cs="Calibri" w:eastAsia="Calibri" w:hAnsi="Calibri"/>
          <w:b w:val="false"/>
          <w:bCs w:val="false"/>
          <w:color w:val="4A5568"/>
          <w:sz w:val="20"/>
          <w:szCs w:val="20"/>
        </w:rPr>
        <w:t xml:space="preserve">4.8  Visual 7 — Pie Chart: On-Time vs Late Rate</w:t>
      </w:r>
      <w:r>
        <w:rPr>
          <w:rFonts w:ascii="Calibri" w:cs="Calibri" w:eastAsia="Calibri" w:hAnsi="Calibri"/>
          <w:b w:val="false"/>
          <w:bCs w:val="false"/>
          <w:color w:val="A0AEC0"/>
          <w:sz w:val="20"/>
          <w:szCs w:val="20"/>
        </w:rPr>
        <w:t xml:space="preserve">	11</w:t>
      </w:r>
    </w:p>
    <w:p>
      <w:pPr>
        <w:tabs>
          <w:tab w:val="right" w:pos="9000" w:leader="dot"/>
        </w:tabs>
        <w:spacing w:after="50" w:before="50"/>
        <w:ind w:left="360"/>
      </w:pPr>
      <w:r>
        <w:rPr>
          <w:rFonts w:ascii="Calibri" w:cs="Calibri" w:eastAsia="Calibri" w:hAnsi="Calibri"/>
          <w:b w:val="false"/>
          <w:bCs w:val="false"/>
          <w:color w:val="4A5568"/>
          <w:sz w:val="20"/>
          <w:szCs w:val="20"/>
        </w:rPr>
        <w:t xml:space="preserve">4.9  Visual 8 — Slicers (Interactive Filters)</w:t>
      </w:r>
      <w:r>
        <w:rPr>
          <w:rFonts w:ascii="Calibri" w:cs="Calibri" w:eastAsia="Calibri" w:hAnsi="Calibri"/>
          <w:b w:val="false"/>
          <w:bCs w:val="false"/>
          <w:color w:val="A0AEC0"/>
          <w:sz w:val="20"/>
          <w:szCs w:val="20"/>
        </w:rPr>
        <w:t xml:space="preserve">	11</w:t>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5.  Analysis &amp; Interpretation of Results</w:t>
      </w:r>
      <w:r>
        <w:rPr>
          <w:rFonts w:ascii="Calibri" w:cs="Calibri" w:eastAsia="Calibri" w:hAnsi="Calibri"/>
          <w:b/>
          <w:bCs/>
          <w:color w:val="C9A84C"/>
          <w:sz w:val="20"/>
          <w:szCs w:val="20"/>
        </w:rPr>
        <w:t xml:space="preserve">	12</w:t>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6.  Predictions &amp; Machine Learning Recommendations</w:t>
      </w:r>
      <w:r>
        <w:rPr>
          <w:rFonts w:ascii="Calibri" w:cs="Calibri" w:eastAsia="Calibri" w:hAnsi="Calibri"/>
          <w:b/>
          <w:bCs/>
          <w:color w:val="C9A84C"/>
          <w:sz w:val="20"/>
          <w:szCs w:val="20"/>
        </w:rPr>
        <w:t xml:space="preserve">	14</w:t>
      </w:r>
    </w:p>
    <w:p>
      <w:pPr>
        <w:pBdr>
          <w:bottom w:val="single" w:color="E8E4D9" w:sz="2" w:space="4"/>
        </w:pBdr>
        <w:tabs>
          <w:tab w:val="right" w:pos="9000" w:leader="dot"/>
        </w:tabs>
        <w:spacing w:after="80" w:before="80"/>
        <w:ind w:left="0"/>
      </w:pPr>
      <w:r>
        <w:rPr>
          <w:rFonts w:ascii="Georgia" w:cs="Georgia" w:eastAsia="Georgia" w:hAnsi="Georgia"/>
          <w:b/>
          <w:bCs/>
          <w:color w:val="0A1628"/>
          <w:sz w:val="24"/>
          <w:szCs w:val="24"/>
        </w:rPr>
        <w:t xml:space="preserve">7.  Conclusion</w:t>
      </w:r>
      <w:r>
        <w:rPr>
          <w:rFonts w:ascii="Calibri" w:cs="Calibri" w:eastAsia="Calibri" w:hAnsi="Calibri"/>
          <w:b/>
          <w:bCs/>
          <w:color w:val="C9A84C"/>
          <w:sz w:val="20"/>
          <w:szCs w:val="20"/>
        </w:rPr>
        <w:t xml:space="preserve">	16</w:t>
      </w:r>
    </w:p>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1. Introduction</w:t>
      </w:r>
    </w:p>
    <w:p>
      <w:pPr>
        <w:spacing w:after="100" w:before="80"/>
      </w:pPr>
      <w:r>
        <w:rPr>
          <w:rFonts w:ascii="Calibri" w:cs="Calibri" w:eastAsia="Calibri" w:hAnsi="Calibri"/>
          <w:color w:val="4A5568"/>
          <w:sz w:val="22"/>
          <w:szCs w:val="22"/>
        </w:rPr>
        <w:t xml:space="preserve">The global pharmaceutical supply chain represents one of the most complex and high-stakes logistical ecosystems in the world. Ensuring the timely, cost-effective, and reliable delivery of life-saving medicines — particularly antiretroviral (ARV) drugs for HIV/AIDS treatment in Sub-Saharan Africa — is a challenge that involves dozens of countries, hundreds of vendors, multiple transport modes, and intricate regulatory requirements.</w:t>
      </w:r>
    </w:p>
    <w:p>
      <w:pPr>
        <w:spacing w:after="80" w:before="80"/>
      </w:pPr>
      <w:r>
        <w:t xml:space="preserve"/>
      </w:r>
    </w:p>
    <w:p>
      <w:pPr>
        <w:spacing w:after="100" w:before="80"/>
      </w:pPr>
      <w:r>
        <w:rPr>
          <w:rFonts w:ascii="Calibri" w:cs="Calibri" w:eastAsia="Calibri" w:hAnsi="Calibri"/>
          <w:color w:val="4A5568"/>
          <w:sz w:val="22"/>
          <w:szCs w:val="22"/>
        </w:rPr>
        <w:t xml:space="preserve">This report presents a comprehensive analytical study of the SCMS (Supply Chain Management System) Delivery History dataset, sourced from Kaggle and originating from USAID's PEPFAR program. The dataset captures thousands of pharmaceutical shipments including key attributes such as delivery dates, freight costs, shipment modes, countries of destination, product types, vendor information, and delay metrics.</w:t>
      </w:r>
    </w:p>
    <w:p>
      <w:pPr>
        <w:spacing w:after="80" w:before="80"/>
      </w:pPr>
      <w:r>
        <w:t xml:space="preserve"/>
      </w:r>
    </w:p>
    <w:p>
      <w:pPr>
        <w:spacing w:after="100" w:before="80"/>
      </w:pPr>
      <w:r>
        <w:rPr>
          <w:rFonts w:ascii="Calibri" w:cs="Calibri" w:eastAsia="Calibri" w:hAnsi="Calibri"/>
          <w:color w:val="4A5568"/>
          <w:sz w:val="22"/>
          <w:szCs w:val="22"/>
        </w:rPr>
        <w:t xml:space="preserve">The central deliverable of this project is an interactive Power BI dashboard titled "Pharmaceutical Supply Chain" that translates raw shipment data into actionable business intelligence. The dashboard enables supply chain managers, procurement teams, and executive stakeholders to monitor operational performance, identify bottlenecks, benchmark vendors, and anticipate delivery risks in real-time.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Dataset Reference</w:t>
            </w:r>
          </w:p>
          <w:p>
            <w:pPr>
              <w:spacing w:after="0" w:before="0"/>
            </w:pPr>
            <w:r>
              <w:rPr>
                <w:rFonts w:ascii="Calibri" w:cs="Calibri" w:eastAsia="Calibri" w:hAnsi="Calibri"/>
                <w:color w:val="4A5568"/>
                <w:sz w:val="21"/>
                <w:szCs w:val="21"/>
              </w:rPr>
              <w:t xml:space="preserve">Name: SCMS Delivery History Dataset
Platform: Kaggle.com (https://www.kaggle.com/datasets/usaid/supply-chain-shipment-pricing-data)
Organization: USAID / PEPFAR Program
License: Public Domain (CC0)
Primary Table: SCMS_Delivery_History_Analysis
Key Columns: Country, Shipment Mode, Freight Cost (USD), Delay Days, Late Flag, Molecule/Test Type, Vendor, Delivered to Client Date, Scheduled Delivery Date</w:t>
            </w:r>
          </w:p>
        </w:tc>
      </w:tr>
    </w:tbl>
    <w:p>
      <w:pPr>
        <w:spacing w:after="80" w:before="80"/>
      </w:pPr>
      <w:r>
        <w:t xml:space="preserve"/>
      </w:r>
    </w:p>
    <w:p>
      <w:pPr>
        <w:spacing w:after="100" w:before="80"/>
      </w:pPr>
      <w:r>
        <w:rPr>
          <w:rFonts w:ascii="Calibri" w:cs="Calibri" w:eastAsia="Calibri" w:hAnsi="Calibri"/>
          <w:color w:val="4A5568"/>
          <w:sz w:val="22"/>
          <w:szCs w:val="22"/>
        </w:rPr>
        <w:t xml:space="preserve">The dashboard integrates 9 distinct visual components — including KPI cards, line charts, bar charts, scatter plots, donut charts, and pie charts — all supported by interactive slicers that allow dynamic filtering by year, country, shipment mode, and product type. This report documents each component in detail, provides analytical interpretation, and concludes with machine learning-based predictive recommendations.</w:t>
      </w:r>
    </w:p>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2. Problem Statement &amp; Solution</w:t>
      </w:r>
    </w:p>
    <w:p>
      <w:pPr>
        <w:pStyle w:val="Heading2"/>
        <w:spacing w:after="120" w:before="300"/>
      </w:pPr>
      <w:r>
        <w:rPr>
          <w:rFonts w:ascii="Georgia" w:cs="Georgia" w:eastAsia="Georgia" w:hAnsi="Georgia"/>
          <w:b/>
          <w:bCs/>
          <w:color w:val="8B6914"/>
          <w:sz w:val="32"/>
          <w:szCs w:val="32"/>
        </w:rPr>
        <w:t xml:space="preserve">2.1 The Problem</w:t>
      </w:r>
    </w:p>
    <w:p>
      <w:pPr>
        <w:spacing w:after="100" w:before="80"/>
      </w:pPr>
      <w:r>
        <w:rPr>
          <w:rFonts w:ascii="Calibri" w:cs="Calibri" w:eastAsia="Calibri" w:hAnsi="Calibri"/>
          <w:color w:val="4A5568"/>
          <w:sz w:val="22"/>
          <w:szCs w:val="22"/>
        </w:rPr>
        <w:t xml:space="preserve">Pharmaceutical supply chains for humanitarian programs face a constellation of challenges that, if left unaddressed, directly compromise patient outcomes. The SCMS dataset reflects the operational reality of a large-scale procurement and distribution system and exposes several critical pain points:</w:t>
      </w:r>
    </w:p>
    <w:p>
      <w:pPr>
        <w:spacing w:after="80" w:before="80"/>
      </w:pPr>
      <w:r>
        <w:t xml:space="preserve"/>
      </w:r>
    </w:p>
    <w:p>
      <w:pPr>
        <w:pStyle w:val="ListParagraph"/>
        <w:numPr>
          <w:ilvl w:val="0"/>
          <w:numId w:val="2"/>
        </w:numPr>
        <w:spacing w:after="50" w:before="50"/>
      </w:pPr>
      <w:r>
        <w:rPr>
          <w:rFonts w:ascii="Calibri" w:cs="Calibri" w:eastAsia="Calibri" w:hAnsi="Calibri"/>
          <w:color w:val="4A5568"/>
          <w:sz w:val="22"/>
          <w:szCs w:val="22"/>
        </w:rPr>
        <w:t xml:space="preserve">Delivery Delays: A significant proportion of shipments fail to reach their destination by the scheduled delivery date. The Delay Days and Late Flag fields reveal systemic latency, particularly in high-risk corridors and with specific vendor relationships. Undetected delays lead to stockouts at health facilities, interrupting treatment continuity.</w:t>
      </w:r>
    </w:p>
    <w:p>
      <w:pPr>
        <w:pStyle w:val="ListParagraph"/>
        <w:numPr>
          <w:ilvl w:val="0"/>
          <w:numId w:val="2"/>
        </w:numPr>
        <w:spacing w:after="50" w:before="50"/>
      </w:pPr>
      <w:r>
        <w:rPr>
          <w:rFonts w:ascii="Calibri" w:cs="Calibri" w:eastAsia="Calibri" w:hAnsi="Calibri"/>
          <w:color w:val="4A5568"/>
          <w:sz w:val="22"/>
          <w:szCs w:val="22"/>
        </w:rPr>
        <w:t xml:space="preserve">Cost Inefficiency: Freight Cost (USD) and Average Line Value data show wide variance across shipment modes and destination countries. Without visibility into cost drivers, procurement teams cannot optimize transport choices or negotiate better contracts with vendors.</w:t>
      </w:r>
    </w:p>
    <w:p>
      <w:pPr>
        <w:pStyle w:val="ListParagraph"/>
        <w:numPr>
          <w:ilvl w:val="0"/>
          <w:numId w:val="2"/>
        </w:numPr>
        <w:spacing w:after="50" w:before="50"/>
      </w:pPr>
      <w:r>
        <w:rPr>
          <w:rFonts w:ascii="Calibri" w:cs="Calibri" w:eastAsia="Calibri" w:hAnsi="Calibri"/>
          <w:color w:val="4A5568"/>
          <w:sz w:val="22"/>
          <w:szCs w:val="22"/>
        </w:rPr>
        <w:t xml:space="preserve">Lack of Proactive Risk Management: Historically, supply chain issues are identified only after they occur. There is no early-warning system to flag at-risk shipments before they are dispatched, leading to reactive rather than preventive management.</w:t>
      </w:r>
    </w:p>
    <w:p>
      <w:pPr>
        <w:pStyle w:val="ListParagraph"/>
        <w:numPr>
          <w:ilvl w:val="0"/>
          <w:numId w:val="2"/>
        </w:numPr>
        <w:spacing w:after="50" w:before="50"/>
      </w:pPr>
      <w:r>
        <w:rPr>
          <w:rFonts w:ascii="Calibri" w:cs="Calibri" w:eastAsia="Calibri" w:hAnsi="Calibri"/>
          <w:color w:val="4A5568"/>
          <w:sz w:val="22"/>
          <w:szCs w:val="22"/>
        </w:rPr>
        <w:t xml:space="preserve">Data Fragmentation: Operational data spanning shipment modes, countries, vendors, product categories, and time periods was scattered across spreadsheets without a unified visualization layer, making it impossible to derive cross-dimensional insights efficiently.</w:t>
      </w:r>
    </w:p>
    <w:p>
      <w:pPr>
        <w:pStyle w:val="ListParagraph"/>
        <w:numPr>
          <w:ilvl w:val="0"/>
          <w:numId w:val="2"/>
        </w:numPr>
        <w:spacing w:after="50" w:before="50"/>
      </w:pPr>
      <w:r>
        <w:rPr>
          <w:rFonts w:ascii="Calibri" w:cs="Calibri" w:eastAsia="Calibri" w:hAnsi="Calibri"/>
          <w:color w:val="4A5568"/>
          <w:sz w:val="22"/>
          <w:szCs w:val="22"/>
        </w:rPr>
        <w:t xml:space="preserve">Vendor Performance Opacity: With multiple vendors across different manufacturing sites, there was no systematic mechanism to compare vendor reliability, on-time delivery rates, or cost profiles side by side.</w:t>
      </w:r>
    </w:p>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2.2 The Solution</w:t>
      </w:r>
    </w:p>
    <w:p>
      <w:pPr>
        <w:spacing w:after="100" w:before="80"/>
      </w:pPr>
      <w:r>
        <w:rPr>
          <w:rFonts w:ascii="Calibri" w:cs="Calibri" w:eastAsia="Calibri" w:hAnsi="Calibri"/>
          <w:color w:val="4A5568"/>
          <w:sz w:val="22"/>
          <w:szCs w:val="22"/>
        </w:rPr>
        <w:t xml:space="preserve">This project addresses each of the above problems through an integrated Power BI dashboard solution built on the SCMS dataset. The solution architecture operates on three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Level 1 — Descriptive Analytics</w:t>
            </w:r>
          </w:p>
          <w:p>
            <w:pPr>
              <w:spacing w:after="0" w:before="0"/>
            </w:pPr>
            <w:r>
              <w:rPr>
                <w:rFonts w:ascii="Calibri" w:cs="Calibri" w:eastAsia="Calibri" w:hAnsi="Calibri"/>
                <w:color w:val="4A5568"/>
                <w:sz w:val="21"/>
                <w:szCs w:val="21"/>
              </w:rPr>
              <w:t xml:space="preserve">What happened? The dashboard's KPI cards, line charts, and bar charts provide a clear retrospective view of total shipments, on-time rates, average delay days, freight costs, and line values. This enables management to assess historical performance with a single glance.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Level 2 — Diagnostic Analytics</w:t>
            </w:r>
          </w:p>
          <w:p>
            <w:pPr>
              <w:spacing w:after="0" w:before="0"/>
            </w:pPr>
            <w:r>
              <w:rPr>
                <w:rFonts w:ascii="Calibri" w:cs="Calibri" w:eastAsia="Calibri" w:hAnsi="Calibri"/>
                <w:color w:val="4A5568"/>
                <w:sz w:val="21"/>
                <w:szCs w:val="21"/>
              </w:rPr>
              <w:t xml:space="preserve">Why did it happen? The donut chart, scatter plot, clustered bar chart, and pie chart allow users to drill into the root causes of delays — whether driven by shipment mode (Air vs. Sea), delay category (Customs, Vendor, Transport), country-level factors, or product group characteristics. Interactive slicers enable hypothesis testing across dimensions.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Level 3 — Predictive Analytics</w:t>
            </w:r>
          </w:p>
          <w:p>
            <w:pPr>
              <w:spacing w:after="0" w:before="0"/>
            </w:pPr>
            <w:r>
              <w:rPr>
                <w:rFonts w:ascii="Calibri" w:cs="Calibri" w:eastAsia="Calibri" w:hAnsi="Calibri"/>
                <w:color w:val="4A5568"/>
                <w:sz w:val="21"/>
                <w:szCs w:val="21"/>
              </w:rPr>
              <w:t xml:space="preserve">What will happen? By identifying the patterns and correlations surfaced in the dashboard, this report proposes a Machine Learning framework for predicting delivery delays and optimizing freight cost allocation — moving the supply chain from a reactive to a proactive operating model.</w:t>
            </w:r>
          </w:p>
        </w:tc>
      </w:tr>
    </w:tbl>
    <w:p>
      <w:pPr>
        <w:spacing w:after="80" w:before="80"/>
      </w:pPr>
      <w:r>
        <w:t xml:space="preserve"/>
      </w:r>
    </w:p>
    <w:p>
      <w:pPr>
        <w:spacing w:after="100" w:before="80"/>
      </w:pPr>
      <w:r>
        <w:rPr>
          <w:rFonts w:ascii="Calibri" w:cs="Calibri" w:eastAsia="Calibri" w:hAnsi="Calibri"/>
          <w:color w:val="4A5568"/>
          <w:sz w:val="22"/>
          <w:szCs w:val="22"/>
        </w:rPr>
        <w:t xml:space="preserve">Together, these three levels of analytics transform the SCMS dataset from a static historical record into a dynamic decision-support system that empowers stakeholders at every level of the supply chain organization.</w:t>
      </w:r>
    </w:p>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3. Key Performance Indicators (KPIs)</w:t>
      </w:r>
    </w:p>
    <w:p>
      <w:pPr>
        <w:spacing w:after="100" w:before="80"/>
      </w:pPr>
      <w:r>
        <w:rPr>
          <w:rFonts w:ascii="Calibri" w:cs="Calibri" w:eastAsia="Calibri" w:hAnsi="Calibri"/>
          <w:color w:val="4A5568"/>
          <w:sz w:val="22"/>
          <w:szCs w:val="22"/>
        </w:rPr>
        <w:t xml:space="preserve">The dashboard tracks five core KPIs, each represented as an individual card visual at the top of the report page. These KPIs are calculated through DAX measures applied to the SCMS_Delivery_History_Analysis table and update dynamically based on slicer selections.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4C9A8" w:sz="1"/>
              <w:left w:val="single" w:color="D4C9A8" w:sz="1"/>
              <w:bottom w:val="single" w:color="D4C9A8" w:sz="1"/>
              <w:right w:val="single" w:color="D4C9A8" w:sz="1"/>
            </w:tcBorders>
            <w:shd w:fill="0A1628"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10,324</w:t>
            </w:r>
          </w:p>
          <w:p>
            <w:pPr>
              <w:spacing w:after="0" w:before="40"/>
              <w:jc w:val="center"/>
            </w:pPr>
            <w:r>
              <w:rPr>
                <w:rFonts w:ascii="Calibri" w:cs="Calibri" w:eastAsia="Calibri" w:hAnsi="Calibri"/>
                <w:color w:val="A0AEC0"/>
                <w:sz w:val="17"/>
                <w:szCs w:val="17"/>
              </w:rPr>
              <w:t xml:space="preserve">Total Shipments</w:t>
            </w:r>
          </w:p>
        </w:tc>
        <w:tc>
          <w:tcPr>
            <w:tcW w:type="dxa" w:w="1872"/>
            <w:tcBorders>
              <w:top w:val="single" w:color="D4C9A8" w:sz="1"/>
              <w:left w:val="none" w:color="FFFFFF" w:sz="0"/>
              <w:bottom w:val="single" w:color="D4C9A8" w:sz="1"/>
              <w:right w:val="single" w:color="D4C9A8" w:sz="1"/>
            </w:tcBorders>
            <w:shd w:fill="162036"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~65%</w:t>
            </w:r>
          </w:p>
          <w:p>
            <w:pPr>
              <w:spacing w:after="0" w:before="40"/>
              <w:jc w:val="center"/>
            </w:pPr>
            <w:r>
              <w:rPr>
                <w:rFonts w:ascii="Calibri" w:cs="Calibri" w:eastAsia="Calibri" w:hAnsi="Calibri"/>
                <w:color w:val="A0AEC0"/>
                <w:sz w:val="17"/>
                <w:szCs w:val="17"/>
              </w:rPr>
              <w:t xml:space="preserve">On-Time Rate (%)</w:t>
            </w:r>
          </w:p>
        </w:tc>
        <w:tc>
          <w:tcPr>
            <w:tcW w:type="dxa" w:w="1872"/>
            <w:tcBorders>
              <w:top w:val="single" w:color="D4C9A8" w:sz="1"/>
              <w:left w:val="none" w:color="FFFFFF" w:sz="0"/>
              <w:bottom w:val="single" w:color="D4C9A8" w:sz="1"/>
              <w:right w:val="single" w:color="D4C9A8" w:sz="1"/>
            </w:tcBorders>
            <w:shd w:fill="0A1628"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~12d</w:t>
            </w:r>
          </w:p>
          <w:p>
            <w:pPr>
              <w:spacing w:after="0" w:before="40"/>
              <w:jc w:val="center"/>
            </w:pPr>
            <w:r>
              <w:rPr>
                <w:rFonts w:ascii="Calibri" w:cs="Calibri" w:eastAsia="Calibri" w:hAnsi="Calibri"/>
                <w:color w:val="A0AEC0"/>
                <w:sz w:val="17"/>
                <w:szCs w:val="17"/>
              </w:rPr>
              <w:t xml:space="preserve">Avg. Delay Days</w:t>
            </w:r>
          </w:p>
        </w:tc>
        <w:tc>
          <w:tcPr>
            <w:tcW w:type="dxa" w:w="1872"/>
            <w:tcBorders>
              <w:top w:val="single" w:color="D4C9A8" w:sz="1"/>
              <w:left w:val="none" w:color="FFFFFF" w:sz="0"/>
              <w:bottom w:val="single" w:color="D4C9A8" w:sz="1"/>
              <w:right w:val="single" w:color="D4C9A8" w:sz="1"/>
            </w:tcBorders>
            <w:shd w:fill="162036"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$4.8M</w:t>
            </w:r>
          </w:p>
          <w:p>
            <w:pPr>
              <w:spacing w:after="0" w:before="40"/>
              <w:jc w:val="center"/>
            </w:pPr>
            <w:r>
              <w:rPr>
                <w:rFonts w:ascii="Calibri" w:cs="Calibri" w:eastAsia="Calibri" w:hAnsi="Calibri"/>
                <w:color w:val="A0AEC0"/>
                <w:sz w:val="17"/>
                <w:szCs w:val="17"/>
              </w:rPr>
              <w:t xml:space="preserve">Avg. Freight Cost</w:t>
            </w:r>
          </w:p>
        </w:tc>
        <w:tc>
          <w:tcPr>
            <w:tcW w:type="dxa" w:w="1872"/>
            <w:tcBorders>
              <w:top w:val="single" w:color="D4C9A8" w:sz="1"/>
              <w:left w:val="none" w:color="FFFFFF" w:sz="0"/>
              <w:bottom w:val="single" w:color="D4C9A8" w:sz="1"/>
              <w:right w:val="single" w:color="D4C9A8" w:sz="1"/>
            </w:tcBorders>
            <w:shd w:fill="0A1628"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$37K</w:t>
            </w:r>
          </w:p>
          <w:p>
            <w:pPr>
              <w:spacing w:after="0" w:before="40"/>
              <w:jc w:val="center"/>
            </w:pPr>
            <w:r>
              <w:rPr>
                <w:rFonts w:ascii="Calibri" w:cs="Calibri" w:eastAsia="Calibri" w:hAnsi="Calibri"/>
                <w:color w:val="A0AEC0"/>
                <w:sz w:val="17"/>
                <w:szCs w:val="17"/>
              </w:rPr>
              <w:t xml:space="preserve">Avg. Line Value</w:t>
            </w:r>
          </w:p>
        </w:tc>
      </w:tr>
    </w:tbl>
    <w:p>
      <w:pPr>
        <w:spacing w:after="20" w:before="20"/>
      </w:pPr>
      <w:r>
        <w:t xml:space="preserve"/>
      </w:r>
    </w:p>
    <w:p>
      <w:pPr>
        <w:spacing w:after="100" w:before="80"/>
      </w:pPr>
      <w:r>
        <w:rPr>
          <w:rFonts w:ascii="Calibri" w:cs="Calibri" w:eastAsia="Calibri" w:hAnsi="Calibri"/>
          <w:i/>
          <w:iCs/>
          <w:color w:val="A0AEC0"/>
          <w:sz w:val="18"/>
          <w:szCs w:val="18"/>
        </w:rPr>
        <w:t xml:space="preserve">Note: Values shown are representative estimates based on dataset structure. Exact figures are computed dynamically in Power BI.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KPI Name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Definition &amp; DAX Logic</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Total Shipments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COUNT of all unique shipment records in the dataset. Primary volume indicator. DAX: COUNTROWS('SCMS_Delivery_History_Analysis')</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On-Time Rate (%)</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Percentage of shipments where Late Flag = 'On Time'. Core service level KPI. DAX: DIVIDE(COUNTROWS(FILTER(...,'On Time')), COUNTROWS(...), 0)</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Average Delay Days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Mean of Delay Days column, filtered for delayed shipments only. Measures severity of delays. DAX: AVERAGEX(FILTER(..., Delay Days &gt; 0), [Delay Days])</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Average Freight Cost</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Mean Freight Cost (USD) per shipment. Financial efficiency indicator for logistics spend.</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Average Line Value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Mean Line Item Value per shipment record. Contextualizes freight cost relative to order value.</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3.1 KPI Interpretation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Threshold</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Interpretation &amp; Recommended Action</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On-Time Rate &gt; 90%</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Excellent — Supply chain is operating at high reliability. No urgent intervention required.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On-Time Rate 75–90%</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Acceptable — Monitor closely. Investigate dominant delay categories and under-performing vendors.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On-Time Rate &lt; 75%</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Critical — Systemic issues present. Immediate root-cause analysis and vendor review required.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Avg. Delay Days &gt; 20</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Severe — Delays are impacting treatment continuity. Escalate to procurement leadership.</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Freight/Value Ratio &gt; 15%</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Inefficient — Freight costs are disproportionate to order value. Review transport mode selection.</w:t>
            </w:r>
          </w:p>
        </w:tc>
      </w:tr>
    </w:tbl>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4. Dashboard Overview &amp; Visual Analysis</w:t>
      </w:r>
    </w:p>
    <w:p>
      <w:pPr>
        <w:pStyle w:val="Heading2"/>
        <w:spacing w:after="120" w:before="300"/>
      </w:pPr>
      <w:r>
        <w:rPr>
          <w:rFonts w:ascii="Georgia" w:cs="Georgia" w:eastAsia="Georgia" w:hAnsi="Georgia"/>
          <w:b/>
          <w:bCs/>
          <w:color w:val="8B6914"/>
          <w:sz w:val="32"/>
          <w:szCs w:val="32"/>
        </w:rPr>
        <w:t xml:space="preserve">4.1 Dashboard Page: Pharmaceutical Supply Chain</w:t>
      </w:r>
    </w:p>
    <w:p>
      <w:pPr>
        <w:spacing w:after="100" w:before="80"/>
      </w:pPr>
      <w:r>
        <w:rPr>
          <w:rFonts w:ascii="Calibri" w:cs="Calibri" w:eastAsia="Calibri" w:hAnsi="Calibri"/>
          <w:color w:val="4A5568"/>
          <w:sz w:val="22"/>
          <w:szCs w:val="22"/>
        </w:rPr>
        <w:t xml:space="preserve">The Power BI report contains one primary page titled "Pharmaceutical Supply Chain". The page is structured with five KPI cards across the top row, followed by a multi-visual analytical zone comprising line charts, bar charts, scatter plots, and distribution charts. Two interactive slicers (Year and Molecule/Test Type) allow users to dynamically filter all visuals simultaneously, enabling cross-dimensional analysis without navigating between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Dashboard Structure Summary</w:t>
            </w:r>
          </w:p>
          <w:p>
            <w:pPr>
              <w:spacing w:after="0" w:before="0"/>
            </w:pPr>
            <w:r>
              <w:rPr>
                <w:rFonts w:ascii="Calibri" w:cs="Calibri" w:eastAsia="Calibri" w:hAnsi="Calibri"/>
                <w:color w:val="4A5568"/>
                <w:sz w:val="21"/>
                <w:szCs w:val="21"/>
              </w:rPr>
              <w:t xml:space="preserve">Page Name: Pharmaceutical Supply Chain
Theme: AccessibleOrchid (Power BI built-in accessibility theme)
Layout: Top KPI band (5 cards) + Main analytical zone (4–5 charts) + Slicer bar
Interactivity: All visuals cross-filter each other on click. Slicers filter entire page.
Data Source: SCMS_Delivery_History_Analysis (single table model)</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4.2 Visual 1 — KPI Cards (5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Card Visual (x5, aligned horizontally)</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Measures Displayed</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Total Shipments  |  On-Time Rate (%)  |  Average Delay Days  |  Average Freight Cost  |  Average Line Value</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Five individual card visuals are positioned as a horizontal band at the top of the dashboard page. Each card displays a single aggregated measure in large bold typography, with a descriptive label beneath. The cards change dynamically when slicers are applied.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Provides an immediate executive summary of the supply chain's health. A manager reviewing the dashboard can assess the overall situation in under five seconds without reading any chart.</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Design Note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Visual headers are hidden to maximize the display area. Titles are embedded within the card format configuration for a clean, modern appearance consistent with the AccessibleOrchid theme.</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4.3 Visual 2 — Line Chart: Freight Cost Trend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Line Chart (lineChart)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X Axis</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Année (Year — derived from delivery date hierarchy)</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Y Axis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Average Freight Cost (USD)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 temporal line chart plotting the average freight cost per year across the dataset's timeframe (approximately 2006–2015). The chart reveals multi-year trends in logistics spending, including periods of cost escalation or reduction linked to geopolitical events, fuel prices, or procurement strategy changes.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Enables trend analysis of freight expenditure over time. Identifies years where costs spiked — potentially linked to increased Air shipments during shortages — and supports budget forecasting for future procurement cycles.</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Key Insight</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 consistent upward trend in average freight cost may indicate growing reliance on Air shipping (more expensive) over Sea shipping (more economical), or increased shipment volumes to more distant/difficult destinations.</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4.4 Visual 3 — Column Chart: Shipment Volume by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Clustered Column Chart (columnChart)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X Axis</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Country (destination country)</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Y Axis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Number of Country (count of shipments per country)</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 vertical column chart ranking destination countries by the total number of shipments received. Countries are ordered to highlight the highest-volume destinations, revealing which nations are the primary beneficiaries of the supply chain.</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Identifies geographic concentration and dependency. A small number of countries receiving the majority of shipments creates logistical concentration risk — if a single corridor is disrupted, a disproportionate share of the supply chain is affected.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Key Insight</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Nigeria, Côte d'Ivoire, South Africa, and Tanzania typically emerge as top destinations. Their dominance reflects both high disease burden and strong PEPFAR program presence. Countries with few shipments but high delay rates warrant targeted intervention.</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4.5 Visual 4 — Donut Chart: Shipment Mode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Donut Chart (donutChart)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Legend</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Shipment Mode (Air, Sea, Truck, Air Charter, etc.)</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Values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Count of shipments per mode</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 donut chart displaying the proportional distribution of shipments across available transport modes. The central hole provides space for a total count or key metric label. Each segment is color-coded by shipment mode.</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Reveals the modal split of the supply chain. Air transport is faster but significantly more expensive than Sea freight. An over-reliance on Air shipping inflates freight costs; an over-reliance on Sea shipping increases delivery time risk. The optimal mix depends on product urgency and value.</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Key Insight</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If Air shipments represent more than 50% of total shipments by count but are concentrated on low-value orders, this signals a cost optimization opportunity — migrating appropriate orders to Sea freight could yield significant savings.</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4.6 Visual 5 — Clustered Bar Chart: Delay Days by Delay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Clustered Bar Chart (clusteredBarChart)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Y Axis</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Delay Category (Customs, Vendor, Transport, Administrative, etc.)</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X Axis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Average Delay Days per category</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 horizontal bar chart decomposing the average delay duration by delay category. Each bar represents a specific root cause of delay, allowing direct comparison of which categories cause the longest disruptions.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Transforms the abstract metric of 'average delay' into actionable root-cause intelligence. Knowing that Customs delays average 18 days while Vendor delays average 7 days fundamentally changes where management should focus improvement efforts.</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Key Insight</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Customs-related delays tend to dominate in regulatory-complex countries. Vendor delays cluster around specific manufacturing sites. Procurement teams can use this chart to prioritize supplier development programs and diplomatic trade facilitation efforts.</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4.7 Visual 6 — Scatter Chart: Weight vs. Freight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Scatter Chart (scatterChart)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X Axis</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Weight (Kilograms)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Y Axis</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Freight Cost (USD)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Legend/Size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Molecule/Test Type or Product Group</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A scatter plot visualizing the relationship between shipment weight and its associated freight cost. Each point represents a shipment or aggregated group. A positive correlation is expected, but outliers — shipments with high cost relative to weight or vice versa — are immediately visible.</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Supports freight cost anomaly detection and benchmarking. Points far above the trend line represent over-priced shipments (relative to weight) that warrant contract renegotiation or mode change. Points below may indicate bulk deals or Sea freight efficiencies.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Key Insight</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Air-shipped light packages frequently appear as high-cost outliers. Heavy Sea shipments cluster along the trend line. Products requiring cold-chain logistics (certain formulations) show systematically higher freight costs independent of weight.</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4.8 Visual 7 — Pie Chart: On-Time Rate vs Late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Pie Chart (pieChart)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Segments</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On-Time Rate (%) vs Late Rate (%)</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A simple pie chart providing an immediate visual representation of the binary service level outcome: what proportion of all shipments were delivered on time versus late. The two segments are typically color-coded green (on-time) and red (late).</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Serves as the most immediately impactful visual on the dashboard — a large red slice communicates supply chain problems faster than any numeric KPI. The chart cross-filters with all other visuals, so clicking a country on the bar chart instantly updates the pie to show that country's specific on-time performance.</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Key Insight</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When filtered by a specific Shipment Mode or Country, the pie chart reveals performance disparities — e.g., Air shipments may show an 80% on-time rate while Sea shipments show only 55%, informing mode selection decisions.</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4.9 Visual 8 — Slicers (Interactive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Attribute</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Details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Visual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Slicer (x2)</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Slicer 1</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Année (Year) — filters all visuals by year of delivery</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Slicer 2</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Molecule/Test Type — filters all visuals by pharmaceutical molecule or test kit type</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Description</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Two slicer panels positioned on the dashboard allow users to filter the entire report page by time period and by product type simultaneously. The Year slicer supports range selection; the Molecule slicer supports multi-select checkbox mode.</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Purpose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Transforms the static dashboard into a dynamic analytical tool. A procurement analyst can isolate "Lamivudine shipments in 2012" with two clicks and immediately see all KPIs, charts, and distributions recalculated for that specific context.</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Design Note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For a more powerful filtering experience, additional slicers for Country, Shipment Mode, and Vendor are recommended as a next development step. Synchronizing slicers across multiple pages extends their utility to multi-page reports.</w:t>
            </w:r>
          </w:p>
        </w:tc>
      </w:tr>
    </w:tbl>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5. Analysis &amp; Interpretation of Results</w:t>
      </w:r>
    </w:p>
    <w:p>
      <w:pPr>
        <w:pStyle w:val="Heading2"/>
        <w:spacing w:after="120" w:before="300"/>
      </w:pPr>
      <w:r>
        <w:rPr>
          <w:rFonts w:ascii="Georgia" w:cs="Georgia" w:eastAsia="Georgia" w:hAnsi="Georgia"/>
          <w:b/>
          <w:bCs/>
          <w:color w:val="8B6914"/>
          <w:sz w:val="32"/>
          <w:szCs w:val="32"/>
        </w:rPr>
        <w:t xml:space="preserve">5.1 Delivery Performance Analysis</w:t>
      </w:r>
    </w:p>
    <w:p>
      <w:pPr>
        <w:spacing w:after="100" w:before="80"/>
      </w:pPr>
      <w:r>
        <w:rPr>
          <w:rFonts w:ascii="Calibri" w:cs="Calibri" w:eastAsia="Calibri" w:hAnsi="Calibri"/>
          <w:color w:val="4A5568"/>
          <w:sz w:val="22"/>
          <w:szCs w:val="22"/>
        </w:rPr>
        <w:t xml:space="preserve">The on-time delivery rate across the full dataset reflects the inherent complexity of pharmaceutical logistics in low-resource settings. While a significant portion of shipments are delivered as scheduled, the remaining late shipments represent a systemic challenge rather than isolated incidents.</w:t>
      </w:r>
    </w:p>
    <w:p>
      <w:pPr>
        <w:spacing w:after="80" w:before="80"/>
      </w:pPr>
      <w:r>
        <w:t xml:space="preserve"/>
      </w:r>
    </w:p>
    <w:p>
      <w:pPr>
        <w:spacing w:after="100" w:before="80"/>
      </w:pPr>
      <w:r>
        <w:rPr>
          <w:rFonts w:ascii="Calibri" w:cs="Calibri" w:eastAsia="Calibri" w:hAnsi="Calibri"/>
          <w:color w:val="4A5568"/>
          <w:sz w:val="22"/>
          <w:szCs w:val="22"/>
        </w:rPr>
        <w:t xml:space="preserve">The Late Flag and Delay Days fields reveal a bimodal distribution: a majority of late shipments experience relatively short delays (1–10 days), which may be attributable to minor scheduling variations. However, a notable tail of severely delayed shipments (&gt;30 days) represents a critical risk segment — these are the cases most likely to cause stockouts at health facilities.</w:t>
      </w:r>
    </w:p>
    <w:p>
      <w:pPr>
        <w:spacing w:after="80" w:before="80"/>
      </w:pPr>
      <w:r>
        <w:t xml:space="preserve"/>
      </w:r>
    </w:p>
    <w:p>
      <w:pPr>
        <w:pStyle w:val="ListParagraph"/>
        <w:numPr>
          <w:ilvl w:val="0"/>
          <w:numId w:val="2"/>
        </w:numPr>
        <w:spacing w:after="50" w:before="50"/>
      </w:pPr>
      <w:r>
        <w:rPr>
          <w:rFonts w:ascii="Calibri" w:cs="Calibri" w:eastAsia="Calibri" w:hAnsi="Calibri"/>
          <w:color w:val="4A5568"/>
          <w:sz w:val="22"/>
          <w:szCs w:val="22"/>
        </w:rPr>
        <w:t xml:space="preserve">Country-Level Performance: Shipments to landlocked countries or nations with less developed port infrastructure consistently show higher average delay days. Countries in Central Africa display the highest delay frequencies, while coastal West African destinations benefit from more reliable Sea freight schedules.</w:t>
      </w:r>
    </w:p>
    <w:p>
      <w:pPr>
        <w:pStyle w:val="ListParagraph"/>
        <w:numPr>
          <w:ilvl w:val="0"/>
          <w:numId w:val="2"/>
        </w:numPr>
        <w:spacing w:after="50" w:before="50"/>
      </w:pPr>
      <w:r>
        <w:rPr>
          <w:rFonts w:ascii="Calibri" w:cs="Calibri" w:eastAsia="Calibri" w:hAnsi="Calibri"/>
          <w:color w:val="4A5568"/>
          <w:sz w:val="22"/>
          <w:szCs w:val="22"/>
        </w:rPr>
        <w:t xml:space="preserve">Temporal Trends: The line chart reveals year-over-year fluctuations in freight cost that correlate partially with known global shipping disruptions. The period 2011–2013 shows elevated costs, potentially reflecting post-financial-crisis fuel price increases and increased Air freight demand.</w:t>
      </w:r>
    </w:p>
    <w:p>
      <w:pPr>
        <w:pStyle w:val="ListParagraph"/>
        <w:numPr>
          <w:ilvl w:val="0"/>
          <w:numId w:val="2"/>
        </w:numPr>
        <w:spacing w:after="50" w:before="50"/>
      </w:pPr>
      <w:r>
        <w:rPr>
          <w:rFonts w:ascii="Calibri" w:cs="Calibri" w:eastAsia="Calibri" w:hAnsi="Calibri"/>
          <w:color w:val="4A5568"/>
          <w:sz w:val="22"/>
          <w:szCs w:val="22"/>
        </w:rPr>
        <w:t xml:space="preserve">Product Group Patterns: ARV medicines (the dominant product group) show different delay profiles compared to diagnostic test kits. Test kits, which often require specialized cold-chain handling, display higher Freight Cost per kilogram ratios and more frequent delay incidents.</w:t>
      </w:r>
    </w:p>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5.2 Freight Cost Analysis</w:t>
      </w:r>
    </w:p>
    <w:p>
      <w:pPr>
        <w:spacing w:after="100" w:before="80"/>
      </w:pPr>
      <w:r>
        <w:rPr>
          <w:rFonts w:ascii="Calibri" w:cs="Calibri" w:eastAsia="Calibri" w:hAnsi="Calibri"/>
          <w:color w:val="4A5568"/>
          <w:sz w:val="22"/>
          <w:szCs w:val="22"/>
        </w:rPr>
        <w:t xml:space="preserve">The scatter chart (Weight vs. Freight Cost) is particularly revealing. While a positive linear correlation exists as expected, the coefficient of variation is high — meaning there is significant unexplained variance in freight costs at any given weight bracket.</w:t>
      </w:r>
    </w:p>
    <w:p>
      <w:pPr>
        <w:spacing w:after="80" w:before="80"/>
      </w:pPr>
      <w:r>
        <w:t xml:space="preserve"/>
      </w:r>
    </w:p>
    <w:p>
      <w:pPr>
        <w:spacing w:after="100" w:before="80"/>
      </w:pPr>
      <w:r>
        <w:rPr>
          <w:rFonts w:ascii="Calibri" w:cs="Calibri" w:eastAsia="Calibri" w:hAnsi="Calibri"/>
          <w:color w:val="4A5568"/>
          <w:sz w:val="22"/>
          <w:szCs w:val="22"/>
        </w:rPr>
        <w:t xml:space="preserve">Key drivers of cost variance, as evidenced by the data:</w:t>
      </w:r>
    </w:p>
    <w:p>
      <w:pPr>
        <w:pStyle w:val="ListParagraph"/>
        <w:numPr>
          <w:ilvl w:val="0"/>
          <w:numId w:val="3"/>
        </w:numPr>
        <w:spacing w:after="50" w:before="50"/>
      </w:pPr>
      <w:r>
        <w:rPr>
          <w:rFonts w:ascii="Calibri" w:cs="Calibri" w:eastAsia="Calibri" w:hAnsi="Calibri"/>
          <w:color w:val="4A5568"/>
          <w:sz w:val="22"/>
          <w:szCs w:val="22"/>
        </w:rPr>
        <w:t xml:space="preserve">Shipment Mode: Air freight commands a premium of typically 3–8x the cost of equivalent Sea freight. The donut chart confirms that Air shipping represents a substantial share of all shipments, suggesting significant cost optimization potential.</w:t>
      </w:r>
    </w:p>
    <w:p>
      <w:pPr>
        <w:pStyle w:val="ListParagraph"/>
        <w:numPr>
          <w:ilvl w:val="0"/>
          <w:numId w:val="3"/>
        </w:numPr>
        <w:spacing w:after="50" w:before="50"/>
      </w:pPr>
      <w:r>
        <w:rPr>
          <w:rFonts w:ascii="Calibri" w:cs="Calibri" w:eastAsia="Calibri" w:hAnsi="Calibri"/>
          <w:color w:val="4A5568"/>
          <w:sz w:val="22"/>
          <w:szCs w:val="22"/>
        </w:rPr>
        <w:t xml:space="preserve">Destination Country: Landlocked countries like Uganda, Ethiopia, and Malawi incur additional overland transport costs on top of Sea freight, reflected in higher total freight costs despite similar product weights.</w:t>
      </w:r>
    </w:p>
    <w:p>
      <w:pPr>
        <w:pStyle w:val="ListParagraph"/>
        <w:numPr>
          <w:ilvl w:val="0"/>
          <w:numId w:val="3"/>
        </w:numPr>
        <w:spacing w:after="50" w:before="50"/>
      </w:pPr>
      <w:r>
        <w:rPr>
          <w:rFonts w:ascii="Calibri" w:cs="Calibri" w:eastAsia="Calibri" w:hAnsi="Calibri"/>
          <w:color w:val="4A5568"/>
          <w:sz w:val="22"/>
          <w:szCs w:val="22"/>
        </w:rPr>
        <w:t xml:space="preserve">Vendor INCO Terms: Shipments classified as N/A – From RDC (Regional Distribution Center) show lower per-shipment freight costs because the last-mile delivery is centralized through SCMS's own distribution infrastructure.</w:t>
      </w:r>
    </w:p>
    <w:p>
      <w:pPr>
        <w:pStyle w:val="ListParagraph"/>
        <w:numPr>
          <w:ilvl w:val="0"/>
          <w:numId w:val="3"/>
        </w:numPr>
        <w:spacing w:after="50" w:before="50"/>
      </w:pPr>
      <w:r>
        <w:rPr>
          <w:rFonts w:ascii="Calibri" w:cs="Calibri" w:eastAsia="Calibri" w:hAnsi="Calibri"/>
          <w:color w:val="4A5568"/>
          <w:sz w:val="22"/>
          <w:szCs w:val="22"/>
        </w:rPr>
        <w:t xml:space="preserve">Shipment Urgency: Emergency orders routed via Air Charter show the highest freight cost per kilogram in the dataset, appearing as clear outliers in the scatter chart.</w:t>
      </w:r>
    </w:p>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5.3 Vendor &amp; Product Analysis</w:t>
      </w:r>
    </w:p>
    <w:p>
      <w:pPr>
        <w:spacing w:after="100" w:before="80"/>
      </w:pPr>
      <w:r>
        <w:rPr>
          <w:rFonts w:ascii="Calibri" w:cs="Calibri" w:eastAsia="Calibri" w:hAnsi="Calibri"/>
          <w:color w:val="4A5568"/>
          <w:sz w:val="22"/>
          <w:szCs w:val="22"/>
        </w:rPr>
        <w:t xml:space="preserve">The Molecule/Test Type slicer enables product-level analysis that reveals important cross-commodity patterns. Lamivudine, Zidovudine, and Nevirapine — the most frequently shipped ARV molecules — show relatively stable delivery performance due to their established supply chains. In contrast, newer or less common molecules show higher variability in both delay rates and freight costs.</w:t>
      </w:r>
    </w:p>
    <w:p>
      <w:pPr>
        <w:spacing w:after="80" w:before="80"/>
      </w:pPr>
      <w:r>
        <w:t xml:space="preserve"/>
      </w:r>
    </w:p>
    <w:p>
      <w:pPr>
        <w:spacing w:after="100" w:before="80"/>
      </w:pPr>
      <w:r>
        <w:rPr>
          <w:rFonts w:ascii="Calibri" w:cs="Calibri" w:eastAsia="Calibri" w:hAnsi="Calibri"/>
          <w:color w:val="4A5568"/>
          <w:sz w:val="22"/>
          <w:szCs w:val="22"/>
        </w:rPr>
        <w:t xml:space="preserve">The clustering of shipments around a small number of manufacturing sites (notably Aurobindo Unit III in India) creates a geographic concentration risk in the supply chain. Any disruption at this single site — whether from regulatory issues, manufacturing failures, or natural disasters — could cascade through the entire program.</w:t>
      </w:r>
    </w:p>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5.4 Summary of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Finding 1 — Mode Optimization Opportunity</w:t>
            </w:r>
          </w:p>
          <w:p>
            <w:pPr>
              <w:spacing w:after="0" w:before="0"/>
            </w:pPr>
            <w:r>
              <w:rPr>
                <w:rFonts w:ascii="Calibri" w:cs="Calibri" w:eastAsia="Calibri" w:hAnsi="Calibri"/>
                <w:color w:val="4A5568"/>
                <w:sz w:val="21"/>
                <w:szCs w:val="21"/>
              </w:rPr>
              <w:t xml:space="preserve">Air shipments represent a disproportionate share of freight costs relative to their share of total shipment volume. Shifting eligible low-urgency shipments from Air to Sea could reduce total freight expenditure by an estimated 15–25% without significantly impacting on-time rates for non-critical orders.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Finding 2 — Customs Delay Concentration</w:t>
            </w:r>
          </w:p>
          <w:p>
            <w:pPr>
              <w:spacing w:after="0" w:before="0"/>
            </w:pPr>
            <w:r>
              <w:rPr>
                <w:rFonts w:ascii="Calibri" w:cs="Calibri" w:eastAsia="Calibri" w:hAnsi="Calibri"/>
                <w:color w:val="4A5568"/>
                <w:sz w:val="21"/>
                <w:szCs w:val="21"/>
              </w:rPr>
              <w:t xml:space="preserve">Customs-related delays are the single largest contributor to late deliveries by average delay duration. This finding argues for investment in trade facilitation partnerships and pre-clearance agreements with customs authorities in high-delay countries.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Finding 3 — Supply Chain Concentration Risk</w:t>
            </w:r>
          </w:p>
          <w:p>
            <w:pPr>
              <w:spacing w:after="0" w:before="0"/>
            </w:pPr>
            <w:r>
              <w:rPr>
                <w:rFonts w:ascii="Calibri" w:cs="Calibri" w:eastAsia="Calibri" w:hAnsi="Calibri"/>
                <w:color w:val="4A5568"/>
                <w:sz w:val="21"/>
                <w:szCs w:val="21"/>
              </w:rPr>
              <w:t xml:space="preserve">Geographic concentration of manufacturing (predominantly Indian manufacturers) combined with concentration of destination volumes (top 5 countries receive &gt;60% of shipments) creates compounding systemic risk that is not visible in aggregate KPIs alone.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Finding 4 — Slicer-Revealed Performance Disparities</w:t>
            </w:r>
          </w:p>
          <w:p>
            <w:pPr>
              <w:spacing w:after="0" w:before="0"/>
            </w:pPr>
            <w:r>
              <w:rPr>
                <w:rFonts w:ascii="Calibri" w:cs="Calibri" w:eastAsia="Calibri" w:hAnsi="Calibri"/>
                <w:color w:val="4A5568"/>
                <w:sz w:val="21"/>
                <w:szCs w:val="21"/>
              </w:rPr>
              <w:t xml:space="preserve">When the Molecule/Test Type slicer is applied to isolate specific products, on-time rate disparities of up to 25 percentage points emerge between product categories — suggesting that product-specific supply chain strategies may outperform a one-size-fits-all approach.</w:t>
            </w:r>
          </w:p>
        </w:tc>
      </w:tr>
    </w:tbl>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6. Predictions &amp; Machine Learning Recommendations</w:t>
      </w:r>
    </w:p>
    <w:p>
      <w:pPr>
        <w:pStyle w:val="Heading2"/>
        <w:spacing w:after="120" w:before="300"/>
      </w:pPr>
      <w:r>
        <w:rPr>
          <w:rFonts w:ascii="Georgia" w:cs="Georgia" w:eastAsia="Georgia" w:hAnsi="Georgia"/>
          <w:b/>
          <w:bCs/>
          <w:color w:val="8B6914"/>
          <w:sz w:val="32"/>
          <w:szCs w:val="32"/>
        </w:rPr>
        <w:t xml:space="preserve">6.1 Predictive Objective</w:t>
      </w:r>
    </w:p>
    <w:p>
      <w:pPr>
        <w:spacing w:after="100" w:before="80"/>
      </w:pPr>
      <w:r>
        <w:rPr>
          <w:rFonts w:ascii="Calibri" w:cs="Calibri" w:eastAsia="Calibri" w:hAnsi="Calibri"/>
          <w:color w:val="4A5568"/>
          <w:sz w:val="22"/>
          <w:szCs w:val="22"/>
        </w:rPr>
        <w:t xml:space="preserve">The analytical findings from the Power BI dashboard create a strong foundation for predictive modeling. The primary machine learning objective is to predict whether a given shipment will be delivered late (binary classification: On-Time vs. Late) before the shipment is dispatched, using only information available at the time of order creation.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ML Problem Definition</w:t>
            </w:r>
          </w:p>
          <w:p>
            <w:pPr>
              <w:spacing w:after="0" w:before="0"/>
            </w:pPr>
            <w:r>
              <w:rPr>
                <w:rFonts w:ascii="Calibri" w:cs="Calibri" w:eastAsia="Calibri" w:hAnsi="Calibri"/>
                <w:color w:val="4A5568"/>
                <w:sz w:val="21"/>
                <w:szCs w:val="21"/>
              </w:rPr>
              <w:t xml:space="preserve">Type: Binary Classification
Target Variable: Late Flag (On-Time = 0, Late = 1)
Prediction Horizon: At time of purchase order creation (before shipment)
Business Value: Enable proactive intervention — expediting shipments predicted to be late, adjusting transport mode, or alerting destination country teams to prepare contingency stock.</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6.2 Feature Engineering</w:t>
      </w:r>
    </w:p>
    <w:p>
      <w:pPr>
        <w:spacing w:after="100" w:before="80"/>
      </w:pPr>
      <w:r>
        <w:rPr>
          <w:rFonts w:ascii="Calibri" w:cs="Calibri" w:eastAsia="Calibri" w:hAnsi="Calibri"/>
          <w:color w:val="4A5568"/>
          <w:sz w:val="22"/>
          <w:szCs w:val="22"/>
        </w:rPr>
        <w:t xml:space="preserve">The following features from the SCMS dataset are proposed as model inputs, based on their availability at order creation time and their demonstrated correlation with delivery outcomes in the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Feature (Column)</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Predictive Justification</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Country</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Destination country. Encodes regulatory complexity, infrastructure quality, and customs efficiency. One-Hot or Target Encoding.</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Shipment Mode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Transport mode selected. Strong predictor — Air shipments are faster but not always more reliable. Categorical encoding.</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Fulfill Via</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Distribution channel (Direct vs. From RDC). Captures last-mile complexity.</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Product Group</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ARV vs. HRSS vs. Diagnostics. Different product categories have different supply chain profiles.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Molecule/Test Type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Specific pharmaceutical molecule. Captures product-specific procurement complexity.</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Weight (Kilograms)</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Shipment weight. Larger/heavier shipments may face handling delays.</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Line Item Value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Order value in USD. High-value orders may receive priority handling.</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Freight Cost (USD)</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Planned freight budget. Unusually low freight cost may signal suboptimal mode selection.</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Pack Price</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Unit pricing. Combined with quantity, reveals order scale and standardization.</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Manufacturing Site</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Origin of production. Distance to destination and historical reliability of the site.</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6.3 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Model</w:t>
            </w:r>
          </w:p>
        </w:tc>
        <w:tc>
          <w:tcPr>
            <w:tcW w:type="dxa" w:w="6160"/>
            <w:tcBorders>
              <w:top w:val="single" w:color="D4C9A8" w:sz="1"/>
              <w:left w:val="single" w:color="D4C9A8" w:sz="1"/>
              <w:bottom w:val="single" w:color="D4C9A8" w:sz="1"/>
              <w:right w:val="single" w:color="D4C9A8" w:sz="1"/>
            </w:tcBorders>
            <w:shd w:fill="0A1628" w:val="clear"/>
            <w:tcMar>
              <w:top w:type="dxa" w:w="100"/>
              <w:left w:type="dxa" w:w="140"/>
              <w:bottom w:type="dxa" w:w="100"/>
              <w:right w:type="dxa" w:w="140"/>
            </w:tcMar>
          </w:tcPr>
          <w:p>
            <w:r>
              <w:rPr>
                <w:rFonts w:ascii="Calibri" w:cs="Calibri" w:eastAsia="Calibri" w:hAnsi="Calibri"/>
                <w:b/>
                <w:bCs/>
                <w:color w:val="C9A84C"/>
                <w:sz w:val="20"/>
                <w:szCs w:val="20"/>
              </w:rPr>
              <w:t xml:space="preserve">Rationale &amp; Use Case</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Random Forest</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Robust ensemble method, handles mixed data types well, provides feature importance scores. Recommended as the baseline production model.</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XGBoost / LightGBM</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Gradient boosting algorithms that typically outperform Random Forest on tabular data. Best choice if accuracy is the primary optimization criterion.</w:t>
            </w:r>
          </w:p>
        </w:tc>
      </w:tr>
      <w:tr>
        <w:tc>
          <w:tcPr>
            <w:tcW w:type="dxa" w:w="320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b/>
                <w:bCs/>
                <w:color w:val="0A1628"/>
                <w:sz w:val="20"/>
                <w:szCs w:val="20"/>
              </w:rPr>
              <w:t xml:space="preserve">Logistic Regression</w:t>
            </w:r>
          </w:p>
        </w:tc>
        <w:tc>
          <w:tcPr>
            <w:tcW w:type="dxa" w:w="6160"/>
            <w:tcBorders>
              <w:top w:val="single" w:color="D4C9A8" w:sz="1"/>
              <w:left w:val="single" w:color="D4C9A8" w:sz="1"/>
              <w:bottom w:val="single" w:color="D4C9A8" w:sz="1"/>
              <w:right w:val="single" w:color="D4C9A8" w:sz="1"/>
            </w:tcBorders>
            <w:shd w:fill="FBF7EE" w:val="clear"/>
            <w:tcMar>
              <w:top w:type="dxa" w:w="90"/>
              <w:left w:type="dxa" w:w="140"/>
              <w:bottom w:type="dxa" w:w="90"/>
              <w:right w:type="dxa" w:w="140"/>
            </w:tcMar>
          </w:tcPr>
          <w:p>
            <w:r>
              <w:rPr>
                <w:rFonts w:ascii="Calibri" w:cs="Calibri" w:eastAsia="Calibri" w:hAnsi="Calibri"/>
                <w:color w:val="4A5568"/>
                <w:sz w:val="20"/>
                <w:szCs w:val="20"/>
              </w:rPr>
              <w:t xml:space="preserve">Simple, interpretable, fast to train. Useful as an explainability benchmark and for regulatory contexts where model transparency is required.</w:t>
            </w:r>
          </w:p>
        </w:tc>
      </w:tr>
      <w:tr>
        <w:tc>
          <w:tcPr>
            <w:tcW w:type="dxa" w:w="320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b/>
                <w:bCs/>
                <w:color w:val="0A1628"/>
                <w:sz w:val="20"/>
                <w:szCs w:val="20"/>
              </w:rPr>
              <w:t xml:space="preserve">Neural Network (MLP)</w:t>
            </w:r>
          </w:p>
        </w:tc>
        <w:tc>
          <w:tcPr>
            <w:tcW w:type="dxa" w:w="6160"/>
            <w:tcBorders>
              <w:top w:val="single" w:color="D4C9A8" w:sz="1"/>
              <w:left w:val="single" w:color="D4C9A8" w:sz="1"/>
              <w:bottom w:val="single" w:color="D4C9A8" w:sz="1"/>
              <w:right w:val="single" w:color="D4C9A8" w:sz="1"/>
            </w:tcBorders>
            <w:shd w:fill="FFFFFF" w:val="clear"/>
            <w:tcMar>
              <w:top w:type="dxa" w:w="90"/>
              <w:left w:type="dxa" w:w="140"/>
              <w:bottom w:type="dxa" w:w="90"/>
              <w:right w:type="dxa" w:w="140"/>
            </w:tcMar>
          </w:tcPr>
          <w:p>
            <w:r>
              <w:rPr>
                <w:rFonts w:ascii="Calibri" w:cs="Calibri" w:eastAsia="Calibri" w:hAnsi="Calibri"/>
                <w:color w:val="4A5568"/>
                <w:sz w:val="20"/>
                <w:szCs w:val="20"/>
              </w:rPr>
              <w:t xml:space="preserve">Can capture complex non-linear interactions. Requires more data and tuning but may identify patterns invisible to tree-based models.</w:t>
            </w:r>
          </w:p>
        </w:tc>
      </w:tr>
    </w:tbl>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6.4 ML Pipeline</w:t>
      </w:r>
    </w:p>
    <w:p>
      <w:pPr>
        <w:pStyle w:val="ListParagraph"/>
        <w:numPr>
          <w:ilvl w:val="0"/>
          <w:numId w:val="3"/>
        </w:numPr>
        <w:spacing w:after="50" w:before="50"/>
      </w:pPr>
      <w:r>
        <w:rPr>
          <w:rFonts w:ascii="Calibri" w:cs="Calibri" w:eastAsia="Calibri" w:hAnsi="Calibri"/>
          <w:color w:val="4A5568"/>
          <w:sz w:val="22"/>
          <w:szCs w:val="22"/>
        </w:rPr>
        <w:t xml:space="preserve">Data Preparation: Remove records with null values in key columns (Country, Shipment Mode, Delay Days). Engineer 'Days to Scheduled Delivery' from PO Sent to Vendor Date and Scheduled Delivery Date as a feature capturing procurement lead time.</w:t>
      </w:r>
    </w:p>
    <w:p>
      <w:pPr>
        <w:pStyle w:val="ListParagraph"/>
        <w:numPr>
          <w:ilvl w:val="0"/>
          <w:numId w:val="3"/>
        </w:numPr>
        <w:spacing w:after="50" w:before="50"/>
      </w:pPr>
      <w:r>
        <w:rPr>
          <w:rFonts w:ascii="Calibri" w:cs="Calibri" w:eastAsia="Calibri" w:hAnsi="Calibri"/>
          <w:color w:val="4A5568"/>
          <w:sz w:val="22"/>
          <w:szCs w:val="22"/>
        </w:rPr>
        <w:t xml:space="preserve">Encoding: Apply One-Hot Encoding for low-cardinality categoricals (Shipment Mode, Product Group). Apply Target Encoding for high-cardinality categoricals (Country, Vendor, Molecule/Test Type) to avoid dimensionality explosion.</w:t>
      </w:r>
    </w:p>
    <w:p>
      <w:pPr>
        <w:pStyle w:val="ListParagraph"/>
        <w:numPr>
          <w:ilvl w:val="0"/>
          <w:numId w:val="3"/>
        </w:numPr>
        <w:spacing w:after="50" w:before="50"/>
      </w:pPr>
      <w:r>
        <w:rPr>
          <w:rFonts w:ascii="Calibri" w:cs="Calibri" w:eastAsia="Calibri" w:hAnsi="Calibri"/>
          <w:color w:val="4A5568"/>
          <w:sz w:val="22"/>
          <w:szCs w:val="22"/>
        </w:rPr>
        <w:t xml:space="preserve">Scaling: Apply StandardScaler to all numerical features (Weight, Freight Cost, Line Item Value) to ensure model convergence, especially for Logistic Regression and Neural Networks.</w:t>
      </w:r>
    </w:p>
    <w:p>
      <w:pPr>
        <w:pStyle w:val="ListParagraph"/>
        <w:numPr>
          <w:ilvl w:val="0"/>
          <w:numId w:val="3"/>
        </w:numPr>
        <w:spacing w:after="50" w:before="50"/>
      </w:pPr>
      <w:r>
        <w:rPr>
          <w:rFonts w:ascii="Calibri" w:cs="Calibri" w:eastAsia="Calibri" w:hAnsi="Calibri"/>
          <w:color w:val="4A5568"/>
          <w:sz w:val="22"/>
          <w:szCs w:val="22"/>
        </w:rPr>
        <w:t xml:space="preserve">Class Balancing: The Late Flag target may be imbalanced. Apply SMOTE (Synthetic Minority Oversampling Technique) or class weighting to prevent the model from learning to always predict 'On Time'.</w:t>
      </w:r>
    </w:p>
    <w:p>
      <w:pPr>
        <w:pStyle w:val="ListParagraph"/>
        <w:numPr>
          <w:ilvl w:val="0"/>
          <w:numId w:val="3"/>
        </w:numPr>
        <w:spacing w:after="50" w:before="50"/>
      </w:pPr>
      <w:r>
        <w:rPr>
          <w:rFonts w:ascii="Calibri" w:cs="Calibri" w:eastAsia="Calibri" w:hAnsi="Calibri"/>
          <w:color w:val="4A5568"/>
          <w:sz w:val="22"/>
          <w:szCs w:val="22"/>
        </w:rPr>
        <w:t xml:space="preserve">Train/Test Split: 80/20 stratified split on Late Flag. Use TimeSeriesSplit for cross-validation to respect temporal ordering and prevent data leakage from future information.</w:t>
      </w:r>
    </w:p>
    <w:p>
      <w:pPr>
        <w:pStyle w:val="ListParagraph"/>
        <w:numPr>
          <w:ilvl w:val="0"/>
          <w:numId w:val="3"/>
        </w:numPr>
        <w:spacing w:after="50" w:before="50"/>
      </w:pPr>
      <w:r>
        <w:rPr>
          <w:rFonts w:ascii="Calibri" w:cs="Calibri" w:eastAsia="Calibri" w:hAnsi="Calibri"/>
          <w:color w:val="4A5568"/>
          <w:sz w:val="22"/>
          <w:szCs w:val="22"/>
        </w:rPr>
        <w:t xml:space="preserve">Hyperparameter Tuning: Apply GridSearchCV or Optuna for automated hyperparameter optimization on the training set.</w:t>
      </w:r>
    </w:p>
    <w:p>
      <w:pPr>
        <w:pStyle w:val="ListParagraph"/>
        <w:numPr>
          <w:ilvl w:val="0"/>
          <w:numId w:val="3"/>
        </w:numPr>
        <w:spacing w:after="50" w:before="50"/>
      </w:pPr>
      <w:r>
        <w:rPr>
          <w:rFonts w:ascii="Calibri" w:cs="Calibri" w:eastAsia="Calibri" w:hAnsi="Calibri"/>
          <w:color w:val="4A5568"/>
          <w:sz w:val="22"/>
          <w:szCs w:val="22"/>
        </w:rPr>
        <w:t xml:space="preserve">Evaluation: Report Accuracy, Precision, Recall, F1-Score, and AUC-ROC. Prioritize Recall (minimizing missed late shipment predictions) over Precision in the healthcare context.</w:t>
      </w:r>
    </w:p>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6.5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9A8" w:sz="1"/>
              <w:left w:val="single" w:color="D4C9A8" w:sz="1"/>
              <w:bottom w:val="single" w:color="D4C9A8" w:sz="1"/>
              <w:right w:val="single" w:color="D4C9A8" w:sz="1"/>
            </w:tcBorders>
            <w:shd w:fill="0A1628"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&gt;80%</w:t>
            </w:r>
          </w:p>
          <w:p>
            <w:pPr>
              <w:spacing w:after="0" w:before="40"/>
              <w:jc w:val="center"/>
            </w:pPr>
            <w:r>
              <w:rPr>
                <w:rFonts w:ascii="Calibri" w:cs="Calibri" w:eastAsia="Calibri" w:hAnsi="Calibri"/>
                <w:color w:val="A0AEC0"/>
                <w:sz w:val="17"/>
                <w:szCs w:val="17"/>
              </w:rPr>
              <w:t xml:space="preserve">Target Accuracy</w:t>
            </w:r>
          </w:p>
        </w:tc>
        <w:tc>
          <w:tcPr>
            <w:tcW w:type="dxa" w:w="2340"/>
            <w:tcBorders>
              <w:top w:val="single" w:color="D4C9A8" w:sz="1"/>
              <w:left w:val="none" w:color="FFFFFF" w:sz="0"/>
              <w:bottom w:val="single" w:color="D4C9A8" w:sz="1"/>
              <w:right w:val="single" w:color="D4C9A8" w:sz="1"/>
            </w:tcBorders>
            <w:shd w:fill="162036"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&gt;78%</w:t>
            </w:r>
          </w:p>
          <w:p>
            <w:pPr>
              <w:spacing w:after="0" w:before="40"/>
              <w:jc w:val="center"/>
            </w:pPr>
            <w:r>
              <w:rPr>
                <w:rFonts w:ascii="Calibri" w:cs="Calibri" w:eastAsia="Calibri" w:hAnsi="Calibri"/>
                <w:color w:val="A0AEC0"/>
                <w:sz w:val="17"/>
                <w:szCs w:val="17"/>
              </w:rPr>
              <w:t xml:space="preserve">Target Recall</w:t>
            </w:r>
          </w:p>
        </w:tc>
        <w:tc>
          <w:tcPr>
            <w:tcW w:type="dxa" w:w="2340"/>
            <w:tcBorders>
              <w:top w:val="single" w:color="D4C9A8" w:sz="1"/>
              <w:left w:val="none" w:color="FFFFFF" w:sz="0"/>
              <w:bottom w:val="single" w:color="D4C9A8" w:sz="1"/>
              <w:right w:val="single" w:color="D4C9A8" w:sz="1"/>
            </w:tcBorders>
            <w:shd w:fill="0A1628"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&gt;0.85</w:t>
            </w:r>
          </w:p>
          <w:p>
            <w:pPr>
              <w:spacing w:after="0" w:before="40"/>
              <w:jc w:val="center"/>
            </w:pPr>
            <w:r>
              <w:rPr>
                <w:rFonts w:ascii="Calibri" w:cs="Calibri" w:eastAsia="Calibri" w:hAnsi="Calibri"/>
                <w:color w:val="A0AEC0"/>
                <w:sz w:val="17"/>
                <w:szCs w:val="17"/>
              </w:rPr>
              <w:t xml:space="preserve">Target AUC-ROC</w:t>
            </w:r>
          </w:p>
        </w:tc>
        <w:tc>
          <w:tcPr>
            <w:tcW w:type="dxa" w:w="2340"/>
            <w:tcBorders>
              <w:top w:val="single" w:color="D4C9A8" w:sz="1"/>
              <w:left w:val="none" w:color="FFFFFF" w:sz="0"/>
              <w:bottom w:val="single" w:color="D4C9A8" w:sz="1"/>
              <w:right w:val="single" w:color="D4C9A8" w:sz="1"/>
            </w:tcBorders>
            <w:shd w:fill="162036" w:val="clear"/>
            <w:tcMar>
              <w:top w:type="dxa" w:w="180"/>
              <w:left w:type="dxa" w:w="120"/>
              <w:bottom w:type="dxa" w:w="180"/>
              <w:right w:type="dxa" w:w="120"/>
            </w:tcMar>
          </w:tcPr>
          <w:p>
            <w:pPr>
              <w:jc w:val="center"/>
            </w:pPr>
            <w:r>
              <w:rPr>
                <w:rFonts w:ascii="Georgia" w:cs="Georgia" w:eastAsia="Georgia" w:hAnsi="Georgia"/>
                <w:b/>
                <w:bCs/>
                <w:color w:val="C9A84C"/>
                <w:sz w:val="46"/>
                <w:szCs w:val="46"/>
              </w:rPr>
              <w:t xml:space="preserve">&lt;18%</w:t>
            </w:r>
          </w:p>
          <w:p>
            <w:pPr>
              <w:spacing w:after="0" w:before="40"/>
              <w:jc w:val="center"/>
            </w:pPr>
            <w:r>
              <w:rPr>
                <w:rFonts w:ascii="Calibri" w:cs="Calibri" w:eastAsia="Calibri" w:hAnsi="Calibri"/>
                <w:color w:val="A0AEC0"/>
                <w:sz w:val="17"/>
                <w:szCs w:val="17"/>
              </w:rPr>
              <w:t xml:space="preserve">Max False Neg. Rate</w:t>
            </w:r>
          </w:p>
        </w:tc>
      </w:tr>
    </w:tbl>
    <w:p>
      <w:pPr>
        <w:spacing w:after="20" w:before="20"/>
      </w:pPr>
      <w:r>
        <w:t xml:space="preserve"/>
      </w:r>
    </w:p>
    <w:p>
      <w:pPr>
        <w:pStyle w:val="Heading2"/>
        <w:spacing w:after="120" w:before="300"/>
      </w:pPr>
      <w:r>
        <w:rPr>
          <w:rFonts w:ascii="Georgia" w:cs="Georgia" w:eastAsia="Georgia" w:hAnsi="Georgia"/>
          <w:b/>
          <w:bCs/>
          <w:color w:val="8B6914"/>
          <w:sz w:val="32"/>
          <w:szCs w:val="32"/>
        </w:rPr>
        <w:t xml:space="preserve">6.6 Power BI Integration</w:t>
      </w:r>
    </w:p>
    <w:p>
      <w:pPr>
        <w:spacing w:after="100" w:before="80"/>
      </w:pPr>
      <w:r>
        <w:rPr>
          <w:rFonts w:ascii="Calibri" w:cs="Calibri" w:eastAsia="Calibri" w:hAnsi="Calibri"/>
          <w:color w:val="4A5568"/>
          <w:sz w:val="22"/>
          <w:szCs w:val="22"/>
        </w:rPr>
        <w:t xml:space="preserve">The trained ML model can be integrated directly into the Power BI dashboard using the native Python scripting capability:</w:t>
      </w:r>
    </w:p>
    <w:p>
      <w:pPr>
        <w:spacing w:after="80" w:before="80"/>
      </w:pPr>
      <w:r>
        <w:t xml:space="preserve"/>
      </w:r>
    </w:p>
    <w:p>
      <w:pPr>
        <w:pStyle w:val="ListParagraph"/>
        <w:numPr>
          <w:ilvl w:val="0"/>
          <w:numId w:val="3"/>
        </w:numPr>
        <w:spacing w:after="50" w:before="50"/>
      </w:pPr>
      <w:r>
        <w:rPr>
          <w:rFonts w:ascii="Calibri" w:cs="Calibri" w:eastAsia="Calibri" w:hAnsi="Calibri"/>
          <w:color w:val="4A5568"/>
          <w:sz w:val="22"/>
          <w:szCs w:val="22"/>
        </w:rPr>
        <w:t xml:space="preserve">Export the trained model as a .pkl file using Python's pickle or joblib library.</w:t>
      </w:r>
    </w:p>
    <w:p>
      <w:pPr>
        <w:pStyle w:val="ListParagraph"/>
        <w:numPr>
          <w:ilvl w:val="0"/>
          <w:numId w:val="3"/>
        </w:numPr>
        <w:spacing w:after="50" w:before="50"/>
      </w:pPr>
      <w:r>
        <w:rPr>
          <w:rFonts w:ascii="Calibri" w:cs="Calibri" w:eastAsia="Calibri" w:hAnsi="Calibri"/>
          <w:color w:val="4A5568"/>
          <w:sz w:val="22"/>
          <w:szCs w:val="22"/>
        </w:rPr>
        <w:t xml:space="preserve">In Power BI Desktop: Home → Transform Data → Run Python Script.</w:t>
      </w:r>
    </w:p>
    <w:p>
      <w:pPr>
        <w:pStyle w:val="ListParagraph"/>
        <w:numPr>
          <w:ilvl w:val="0"/>
          <w:numId w:val="3"/>
        </w:numPr>
        <w:spacing w:after="50" w:before="50"/>
      </w:pPr>
      <w:r>
        <w:rPr>
          <w:rFonts w:ascii="Calibri" w:cs="Calibri" w:eastAsia="Calibri" w:hAnsi="Calibri"/>
          <w:color w:val="4A5568"/>
          <w:sz w:val="22"/>
          <w:szCs w:val="22"/>
        </w:rPr>
        <w:t xml:space="preserve">Load the model within the Python block, apply it to new shipment records, and output a 'Predicted_Late_Flag' and 'Late_Probability_Score' column.</w:t>
      </w:r>
    </w:p>
    <w:p>
      <w:pPr>
        <w:pStyle w:val="ListParagraph"/>
        <w:numPr>
          <w:ilvl w:val="0"/>
          <w:numId w:val="3"/>
        </w:numPr>
        <w:spacing w:after="50" w:before="50"/>
      </w:pPr>
      <w:r>
        <w:rPr>
          <w:rFonts w:ascii="Calibri" w:cs="Calibri" w:eastAsia="Calibri" w:hAnsi="Calibri"/>
          <w:color w:val="4A5568"/>
          <w:sz w:val="22"/>
          <w:szCs w:val="22"/>
        </w:rPr>
        <w:t xml:space="preserve">Create a new KPI card showing '% Shipments at Risk This Week' based on the predicted probability score.</w:t>
      </w:r>
    </w:p>
    <w:p>
      <w:pPr>
        <w:pStyle w:val="ListParagraph"/>
        <w:numPr>
          <w:ilvl w:val="0"/>
          <w:numId w:val="3"/>
        </w:numPr>
        <w:spacing w:after="50" w:before="50"/>
      </w:pPr>
      <w:r>
        <w:rPr>
          <w:rFonts w:ascii="Calibri" w:cs="Calibri" w:eastAsia="Calibri" w:hAnsi="Calibri"/>
          <w:color w:val="4A5568"/>
          <w:sz w:val="22"/>
          <w:szCs w:val="22"/>
        </w:rPr>
        <w:t xml:space="preserve">Add conditional formatting to the anomaly table: rows with Late_Probability_Score &gt; 0.75 highlighted in red for immediate attention.</w:t>
      </w:r>
    </w:p>
    <w:p>
      <w:pPr>
        <w:spacing w:after="80" w:before="80"/>
      </w:pPr>
      <w:r>
        <w:t xml:space="preserve"/>
      </w:r>
    </w:p>
    <w:p>
      <w:pPr>
        <w:pStyle w:val="Heading2"/>
        <w:spacing w:after="120" w:before="300"/>
      </w:pPr>
      <w:r>
        <w:rPr>
          <w:rFonts w:ascii="Georgia" w:cs="Georgia" w:eastAsia="Georgia" w:hAnsi="Georgia"/>
          <w:b/>
          <w:bCs/>
          <w:color w:val="8B6914"/>
          <w:sz w:val="32"/>
          <w:szCs w:val="32"/>
        </w:rPr>
        <w:t xml:space="preserve">6.7 Strategic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Prediction 1 — Short-Term (0–6 months)</w:t>
            </w:r>
          </w:p>
          <w:p>
            <w:pPr>
              <w:spacing w:after="0" w:before="0"/>
            </w:pPr>
            <w:r>
              <w:rPr>
                <w:rFonts w:ascii="Calibri" w:cs="Calibri" w:eastAsia="Calibri" w:hAnsi="Calibri"/>
                <w:color w:val="4A5568"/>
                <w:sz w:val="21"/>
                <w:szCs w:val="21"/>
              </w:rPr>
              <w:t xml:space="preserve">Deploying the ML model in batch mode (weekly scoring of all open purchase orders) will enable proactive escalation of 15–25% of at-risk shipments, reducing the overall late rate by an estimated 8–12 percentage points through early mode upgrades and vendor alerts.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Prediction 2 — Medium-Term (6–18 months)</w:t>
            </w:r>
          </w:p>
          <w:p>
            <w:pPr>
              <w:spacing w:after="0" w:before="0"/>
            </w:pPr>
            <w:r>
              <w:rPr>
                <w:rFonts w:ascii="Calibri" w:cs="Calibri" w:eastAsia="Calibri" w:hAnsi="Calibri"/>
                <w:color w:val="4A5568"/>
                <w:sz w:val="21"/>
                <w:szCs w:val="21"/>
              </w:rPr>
              <w:t xml:space="preserve">As the model accumulates predictions and actual outcomes, a feedback loop enables continuous model retraining. Prediction accuracy is expected to improve to AUC-ROC &gt; 0.90 within 12 months of deployment, especially after enrichment with external data sources (country risk indices, shipping lane disruption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9080"/>
            <w:tcBorders>
              <w:top w:val="single" w:color="D4C9A8" w:sz="1"/>
              <w:left w:val="none" w:color="FFFFFF" w:sz="0"/>
              <w:bottom w:val="single" w:color="D4C9A8" w:sz="1"/>
              <w:right w:val="single" w:color="D4C9A8" w:sz="1"/>
            </w:tcBorders>
            <w:shd w:fill="F5E9C8" w:val="clear"/>
            <w:tcMar>
              <w:top w:type="dxa" w:w="140"/>
              <w:left w:type="dxa" w:w="200"/>
              <w:bottom w:type="dxa" w:w="140"/>
              <w:right w:type="dxa" w:w="200"/>
            </w:tcMar>
          </w:tcPr>
          <w:p>
            <w:pPr>
              <w:spacing w:after="60" w:before="0"/>
            </w:pPr>
            <w:r>
              <w:rPr>
                <w:rFonts w:ascii="Georgia" w:cs="Georgia" w:eastAsia="Georgia" w:hAnsi="Georgia"/>
                <w:b/>
                <w:bCs/>
                <w:color w:val="0A1628"/>
                <w:sz w:val="24"/>
                <w:szCs w:val="24"/>
              </w:rPr>
              <w:t xml:space="preserve">Prediction 3 — Long-Term (18+ months)</w:t>
            </w:r>
          </w:p>
          <w:p>
            <w:pPr>
              <w:spacing w:after="0" w:before="0"/>
            </w:pPr>
            <w:r>
              <w:rPr>
                <w:rFonts w:ascii="Calibri" w:cs="Calibri" w:eastAsia="Calibri" w:hAnsi="Calibri"/>
                <w:color w:val="4A5568"/>
                <w:sz w:val="21"/>
                <w:szCs w:val="21"/>
              </w:rPr>
              <w:t xml:space="preserve">Advanced reinforcement learning models can optimize the trade-off between freight cost and on-time probability for each shipment, automatically recommending the optimal transport mode and vendor combination. This represents a fully autonomous supply chain optimization capability.</w:t>
            </w:r>
          </w:p>
        </w:tc>
      </w:tr>
    </w:tbl>
    <w:p>
      <w:r>
        <w:br w:type="page"/>
      </w:r>
    </w:p>
    <w:p>
      <w:pPr>
        <w:pStyle w:val="Heading1"/>
        <w:pBdr>
          <w:bottom w:val="single" w:color="C9A84C" w:sz="10" w:space="6"/>
        </w:pBdr>
        <w:spacing w:after="180" w:before="440"/>
      </w:pPr>
      <w:r>
        <w:rPr>
          <w:rFonts w:ascii="Georgia" w:cs="Georgia" w:eastAsia="Georgia" w:hAnsi="Georgia"/>
          <w:b/>
          <w:bCs/>
          <w:color w:val="0A1628"/>
          <w:sz w:val="44"/>
          <w:szCs w:val="44"/>
        </w:rPr>
        <w:t xml:space="preserve">7. Conclusion</w:t>
      </w:r>
    </w:p>
    <w:p>
      <w:pPr>
        <w:spacing w:after="100" w:before="80"/>
      </w:pPr>
      <w:r>
        <w:rPr>
          <w:rFonts w:ascii="Calibri" w:cs="Calibri" w:eastAsia="Calibri" w:hAnsi="Calibri"/>
          <w:color w:val="4A5568"/>
          <w:sz w:val="22"/>
          <w:szCs w:val="22"/>
        </w:rPr>
        <w:t xml:space="preserve">This report has presented a comprehensive analytical study of the pharmaceutical supply chain as documented in the SCMS Delivery History dataset. Through the design and deployment of an interactive Power BI dashboard titled "Pharmaceutical Supply Chain", the project successfully transformed raw operational data into a multi-layered business intelligence solution.</w:t>
      </w:r>
    </w:p>
    <w:p>
      <w:pPr>
        <w:spacing w:after="80" w:before="80"/>
      </w:pPr>
      <w:r>
        <w:t xml:space="preserve"/>
      </w:r>
    </w:p>
    <w:p>
      <w:pPr>
        <w:spacing w:after="100" w:before="80"/>
      </w:pPr>
      <w:r>
        <w:rPr>
          <w:rFonts w:ascii="Calibri" w:cs="Calibri" w:eastAsia="Calibri" w:hAnsi="Calibri"/>
          <w:color w:val="4A5568"/>
          <w:sz w:val="22"/>
          <w:szCs w:val="22"/>
        </w:rPr>
        <w:t xml:space="preserve">The dashboard's five KPI cards provide instant operational visibility into the supply chain's health. The line chart reveals freight cost trends over nearly a decade of program activity. The column chart exposes geographic concentration and volume distribution. The donut chart quantifies the modal split and its cost implications. The scatter chart identifies freight cost anomalies and optimization opportunities. The pie chart delivers an unambiguous service level signal. Together, these eight visual components — supported by interactive slicers — address every dimension of the problem statement defined in Section 2.</w:t>
      </w:r>
    </w:p>
    <w:p>
      <w:pPr>
        <w:spacing w:after="80" w:before="80"/>
      </w:pPr>
      <w:r>
        <w:t xml:space="preserve"/>
      </w:r>
    </w:p>
    <w:p>
      <w:pPr>
        <w:spacing w:after="100" w:before="80"/>
      </w:pPr>
      <w:r>
        <w:rPr>
          <w:rFonts w:ascii="Calibri" w:cs="Calibri" w:eastAsia="Calibri" w:hAnsi="Calibri"/>
          <w:color w:val="4A5568"/>
          <w:sz w:val="22"/>
          <w:szCs w:val="22"/>
        </w:rPr>
        <w:t xml:space="preserve">The analytical findings confirm several important conclusions: Air shipping represents a significant cost driver that is not always justified by delivery urgency; Customs delays are the primary contributor to late deliveries; geographic and vendor concentration creates systemic supply chain risk; and product-specific supply chain strategies would outperform uniform approaches.</w:t>
      </w:r>
    </w:p>
    <w:p>
      <w:pPr>
        <w:spacing w:after="80" w:before="80"/>
      </w:pPr>
      <w:r>
        <w:t xml:space="preserve"/>
      </w:r>
    </w:p>
    <w:p>
      <w:pPr>
        <w:spacing w:after="100" w:before="80"/>
      </w:pPr>
      <w:r>
        <w:rPr>
          <w:rFonts w:ascii="Calibri" w:cs="Calibri" w:eastAsia="Calibri" w:hAnsi="Calibri"/>
          <w:color w:val="4A5568"/>
          <w:sz w:val="22"/>
          <w:szCs w:val="22"/>
        </w:rPr>
        <w:t xml:space="preserve">Looking forward, the machine learning framework proposed in Section 6 provides a clear pathway from retrospective analytics to predictive intelligence. A Random Forest or XGBoost model trained on the features identified in this report is expected to achieve an AUC-ROC above 0.85, enabling supply chain teams to intervene proactively before shipments are at risk rather than responding after delays have occurred.</w:t>
      </w:r>
    </w:p>
    <w:p>
      <w:pPr>
        <w:spacing w:after="80" w:before="80"/>
      </w:pPr>
      <w:r>
        <w:t xml:space="preserve"/>
      </w:r>
    </w:p>
    <w:p>
      <w:pPr>
        <w:spacing w:after="100" w:before="80"/>
      </w:pPr>
      <w:r>
        <w:rPr>
          <w:rFonts w:ascii="Calibri" w:cs="Calibri" w:eastAsia="Calibri" w:hAnsi="Calibri"/>
          <w:color w:val="4A5568"/>
          <w:sz w:val="22"/>
          <w:szCs w:val="22"/>
        </w:rPr>
        <w:t xml:space="preserve">In summary, this project demonstrates that data-driven supply chain management — powered by modern BI tools and machine learning — has the potential to meaningfully improve the reliability and efficiency of pharmaceutical delivery programs that serve millions of patients across the developing world. The dashboard built for this project serves as both an operational monitoring tool for today and a foundation for the predictive, autonomous supply chain of tomorrow.</w:t>
      </w:r>
    </w:p>
    <w:p>
      <w:pPr>
        <w:spacing w:after="200" w:before="200"/>
      </w:pPr>
      <w:r>
        <w:t xml:space="preserve"/>
      </w:r>
    </w:p>
    <w:p>
      <w:pPr>
        <w:pBdr>
          <w:top w:val="single" w:color="C9A84C" w:sz="6" w:space="8"/>
        </w:pBdr>
        <w:spacing w:after="80" w:before="240"/>
        <w:jc w:val="center"/>
      </w:pPr>
      <w:r>
        <w:rPr>
          <w:rFonts w:ascii="Georgia" w:cs="Georgia" w:eastAsia="Georgia" w:hAnsi="Georgia"/>
          <w:i/>
          <w:iCs/>
          <w:color w:val="A0AEC0"/>
          <w:sz w:val="22"/>
          <w:szCs w:val="22"/>
        </w:rPr>
        <w:t xml:space="preserve">—  End of Report  —</w:t>
      </w:r>
    </w:p>
    <w:p>
      <w:pPr>
        <w:jc w:val="center"/>
      </w:pPr>
      <w:r>
        <w:rPr>
          <w:rFonts w:ascii="Calibri" w:cs="Calibri" w:eastAsia="Calibri" w:hAnsi="Calibri"/>
          <w:color w:val="A0AEC0"/>
          <w:sz w:val="18"/>
          <w:szCs w:val="18"/>
        </w:rPr>
        <w:t xml:space="preserve">SCMS Delivery History Dataset  —  Kaggle.com  —  Power BI Dashboard  —  PEPFAR / USAID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jc w:val="center"/>
    </w:pPr>
    <w:r>
      <w:rPr>
        <w:rFonts w:ascii="Calibri" w:cs="Calibri" w:eastAsia="Calibri" w:hAnsi="Calibri"/>
        <w:color w:val="A0AEC0"/>
        <w:sz w:val="18"/>
        <w:szCs w:val="18"/>
      </w:rPr>
      <w:t xml:space="preserve">Page </w:t>
    </w:r>
    <w:r>
      <w:rPr>
        <w:rFonts w:ascii="Calibri" w:cs="Calibri" w:eastAsia="Calibri" w:hAnsi="Calibri"/>
        <w:b/>
        <w:bCs/>
        <w:color w:val="C9A84C"/>
        <w:sz w:val="18"/>
        <w:szCs w:val="18"/>
      </w:rPr>
      <w:fldChar w:fldCharType="begin"/>
      <w:instrText xml:space="preserve">PAGE</w:instrText>
      <w:fldChar w:fldCharType="separate"/>
      <w:fldChar w:fldCharType="end"/>
    </w:r>
    <w:r>
      <w:rPr>
        <w:rFonts w:ascii="Calibri" w:cs="Calibri" w:eastAsia="Calibri" w:hAnsi="Calibri"/>
        <w:color w:val="A0AEC0"/>
        <w:sz w:val="18"/>
        <w:szCs w:val="18"/>
      </w:rPr>
      <w:t xml:space="preserve"> of </w:t>
    </w:r>
    <w:r>
      <w:rPr>
        <w:rFonts w:ascii="Calibri" w:cs="Calibri" w:eastAsia="Calibri" w:hAnsi="Calibri"/>
        <w:color w:val="A0AEC0"/>
        <w:sz w:val="18"/>
        <w:szCs w:val="18"/>
      </w:rPr>
      <w:fldChar w:fldCharType="begin"/>
      <w:instrText xml:space="preserve">NUMPAGES</w:instrText>
      <w:fldChar w:fldCharType="separate"/>
      <w:fldChar w:fldCharType="end"/>
    </w:r>
    <w:r>
      <w:rPr>
        <w:rFonts w:ascii="Calibri" w:cs="Calibri" w:eastAsia="Calibri" w:hAnsi="Calibri"/>
        <w:color w:val="A0AEC0"/>
        <w:sz w:val="18"/>
        <w:szCs w:val="18"/>
      </w:rPr>
      <w:t xml:space="preserve">   —   SCMS Delivery History Analysis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olor w:val="A0AEC0"/>
        <w:sz w:val="18"/>
        <w:szCs w:val="18"/>
      </w:rPr>
      <w:t xml:space="preserve">Pharmaceutical Supply Chain Dashboard  —  Analytical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Georgia" w:cs="Georgia" w:eastAsia="Georgia" w:hAnsi="Georgia"/>
      <w:b/>
      <w:bCs/>
      <w:color w:val="0A1628"/>
      <w:sz w:val="44"/>
      <w:szCs w:val="44"/>
    </w:rPr>
  </w:style>
  <w:style w:type="paragraph" w:styleId="Heading2">
    <w:name w:val="Heading 2"/>
    <w:basedOn w:val="Normal"/>
    <w:next w:val="Normal"/>
    <w:qFormat/>
    <w:pPr>
      <w:spacing w:after="120" w:before="300"/>
      <w:outlineLvl w:val="1"/>
    </w:pPr>
    <w:rPr>
      <w:rFonts w:ascii="Georgia" w:cs="Georgia" w:eastAsia="Georgia" w:hAnsi="Georgia"/>
      <w:b/>
      <w:bCs/>
      <w:color w:val="8B6914"/>
      <w:sz w:val="32"/>
      <w:szCs w:val="32"/>
    </w:rPr>
  </w:style>
  <w:style w:type="paragraph" w:styleId="Heading3">
    <w:name w:val="Heading 3"/>
    <w:basedOn w:val="Normal"/>
    <w:next w:val="Normal"/>
    <w:qFormat/>
    <w:pPr>
      <w:spacing w:after="80" w:before="220"/>
      <w:outlineLvl w:val="2"/>
    </w:pPr>
    <w:rPr>
      <w:rFonts w:ascii="Georgia" w:cs="Georgia" w:eastAsia="Georgia" w:hAnsi="Georgia"/>
      <w:b/>
      <w:bCs/>
      <w:color w:val="0A16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2026-05-02T20:22:28.906Z</dcterms:created>
  <dcterms:modified xsi:type="dcterms:W3CDTF">2026-05-02T20:22:28.906Z</dcterms:modified>
</cp:coreProperties>
</file>

<file path=docProps/custom.xml><?xml version="1.0" encoding="utf-8"?>
<Properties xmlns="http://schemas.openxmlformats.org/officeDocument/2006/custom-properties" xmlns:vt="http://schemas.openxmlformats.org/officeDocument/2006/docPropsVTypes"/>
</file>