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Feasibility Matrix: China vs. Vietnam Sourcing to Gujarat, India</w:t>
      </w:r>
    </w:p>
    <w:p>
      <w:r>
        <w:t>This feasibility report analyzes the trade economics, logistics, and regulatory landscape for importing goods across five key product categories into Gujarat, India, from China and Vietnam.</w:t>
      </w:r>
    </w:p>
    <w:p>
      <w:r>
        <w:t>---</w:t>
      </w:r>
    </w:p>
    <w:p>
      <w:pPr>
        <w:pStyle w:val="Heading2"/>
      </w:pPr>
      <w:r>
        <w:t>1. Feasibility Matrix Table</w:t>
      </w:r>
    </w:p>
    <w:p>
      <w:r>
        <w:t>The table below details the tariff structures, estimated logistics costs, transit times, and regulatory challenges for both sourcing origins landing at Mundra or Kandla ports in Gujarat.</w:t>
      </w:r>
    </w:p>
    <w:tbl>
      <w:tblPr>
        <w:tblStyle w:val="LightShading-Accent1"/>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rPr>
                <w:b/>
              </w:rPr>
              <w:t>Product Category</w:t>
            </w:r>
          </w:p>
        </w:tc>
        <w:tc>
          <w:tcPr>
            <w:tcW w:type="dxa" w:w="1040"/>
          </w:tcPr>
          <w:p>
            <w:r>
              <w:rPr>
                <w:b/>
              </w:rPr>
              <w:t>Sourcing Country</w:t>
            </w:r>
          </w:p>
        </w:tc>
        <w:tc>
          <w:tcPr>
            <w:tcW w:type="dxa" w:w="1040"/>
          </w:tcPr>
          <w:p>
            <w:r>
              <w:rPr>
                <w:b/>
              </w:rPr>
              <w:t>BCD Rate</w:t>
            </w:r>
          </w:p>
        </w:tc>
        <w:tc>
          <w:tcPr>
            <w:tcW w:type="dxa" w:w="1040"/>
          </w:tcPr>
          <w:p>
            <w:r>
              <w:rPr>
                <w:b/>
              </w:rPr>
              <w:t>SWS Rate</w:t>
            </w:r>
          </w:p>
        </w:tc>
        <w:tc>
          <w:tcPr>
            <w:tcW w:type="dxa" w:w="1040"/>
          </w:tcPr>
          <w:p>
            <w:r>
              <w:rPr>
                <w:b/>
              </w:rPr>
              <w:t>IGST</w:t>
            </w:r>
          </w:p>
        </w:tc>
        <w:tc>
          <w:tcPr>
            <w:tcW w:type="dxa" w:w="1040"/>
          </w:tcPr>
          <w:p>
            <w:r>
              <w:rPr>
                <w:b/>
              </w:rPr>
              <w:t>Avg. Transit Time</w:t>
            </w:r>
          </w:p>
        </w:tc>
        <w:tc>
          <w:tcPr>
            <w:tcW w:type="dxa" w:w="1040"/>
          </w:tcPr>
          <w:p>
            <w:r>
              <w:rPr>
                <w:b/>
              </w:rPr>
              <w:t>Freight Cost (40HC)</w:t>
            </w:r>
          </w:p>
        </w:tc>
        <w:tc>
          <w:tcPr>
            <w:tcW w:type="dxa" w:w="1040"/>
          </w:tcPr>
          <w:p>
            <w:r>
              <w:rPr>
                <w:b/>
              </w:rPr>
              <w:t>Regulatory Challenges / Compliance</w:t>
            </w:r>
          </w:p>
        </w:tc>
        <w:tc>
          <w:tcPr>
            <w:tcW w:type="dxa" w:w="1040"/>
          </w:tcPr>
          <w:p>
            <w:r>
              <w:rPr>
                <w:b/>
              </w:rPr>
              <w:t>Feasibility Rating</w:t>
            </w:r>
          </w:p>
        </w:tc>
      </w:tr>
      <w:tr>
        <w:tc>
          <w:tcPr>
            <w:tcW w:type="dxa" w:w="1040"/>
          </w:tcPr>
          <w:p>
            <w:r>
              <w:t>1. Solar Equipment</w:t>
            </w:r>
          </w:p>
        </w:tc>
        <w:tc>
          <w:tcPr>
            <w:tcW w:type="dxa" w:w="1040"/>
          </w:tcPr>
          <w:p>
            <w:r>
              <w:t>China</w:t>
            </w:r>
          </w:p>
        </w:tc>
        <w:tc>
          <w:tcPr>
            <w:tcW w:type="dxa" w:w="1040"/>
          </w:tcPr>
          <w:p>
            <w:r>
              <w:t>40% (Modules) / 25% (Cells)</w:t>
            </w:r>
          </w:p>
        </w:tc>
        <w:tc>
          <w:tcPr>
            <w:tcW w:type="dxa" w:w="1040"/>
          </w:tcPr>
          <w:p>
            <w:r>
              <w:t>Exempted</w:t>
            </w:r>
          </w:p>
        </w:tc>
        <w:tc>
          <w:tcPr>
            <w:tcW w:type="dxa" w:w="1040"/>
          </w:tcPr>
          <w:p>
            <w:r>
              <w:t>12%</w:t>
            </w:r>
          </w:p>
        </w:tc>
        <w:tc>
          <w:tcPr>
            <w:tcW w:type="dxa" w:w="1040"/>
          </w:tcPr>
          <w:p>
            <w:r>
              <w:t>18–25 days</w:t>
            </w:r>
          </w:p>
        </w:tc>
        <w:tc>
          <w:tcPr>
            <w:tcW w:type="dxa" w:w="1040"/>
          </w:tcPr>
          <w:p>
            <w:r>
              <w:t>$1,800 - $2,600</w:t>
            </w:r>
          </w:p>
        </w:tc>
        <w:tc>
          <w:tcPr>
            <w:tcW w:type="dxa" w:w="1040"/>
          </w:tcPr>
          <w:p>
            <w:r>
              <w:t>ALMM listing, BIS certification (IS 14286, IS 61730), High tariff barriers.</w:t>
            </w:r>
          </w:p>
        </w:tc>
        <w:tc>
          <w:tcPr>
            <w:tcW w:type="dxa" w:w="1040"/>
          </w:tcPr>
          <w:p>
            <w:r>
              <w:t>Medium (High tariff barrier, but necessary due to unmatched raw wafer supply)</w:t>
            </w:r>
          </w:p>
        </w:tc>
      </w:tr>
      <w:tr>
        <w:tc>
          <w:tcPr>
            <w:tcW w:type="dxa" w:w="1040"/>
          </w:tcPr>
          <w:p>
            <w:r/>
          </w:p>
        </w:tc>
        <w:tc>
          <w:tcPr>
            <w:tcW w:type="dxa" w:w="1040"/>
          </w:tcPr>
          <w:p>
            <w:r>
              <w:t>Vietnam</w:t>
            </w:r>
          </w:p>
        </w:tc>
        <w:tc>
          <w:tcPr>
            <w:tcW w:type="dxa" w:w="1040"/>
          </w:tcPr>
          <w:p>
            <w:r>
              <w:t>40% (Modules) / 25% (Cells)</w:t>
            </w:r>
          </w:p>
        </w:tc>
        <w:tc>
          <w:tcPr>
            <w:tcW w:type="dxa" w:w="1040"/>
          </w:tcPr>
          <w:p>
            <w:r>
              <w:t>Exempted</w:t>
            </w:r>
          </w:p>
        </w:tc>
        <w:tc>
          <w:tcPr>
            <w:tcW w:type="dxa" w:w="1040"/>
          </w:tcPr>
          <w:p>
            <w:r>
              <w:t>12%</w:t>
            </w:r>
          </w:p>
        </w:tc>
        <w:tc>
          <w:tcPr>
            <w:tcW w:type="dxa" w:w="1040"/>
          </w:tcPr>
          <w:p>
            <w:r>
              <w:t>15–20 days</w:t>
            </w:r>
          </w:p>
        </w:tc>
        <w:tc>
          <w:tcPr>
            <w:tcW w:type="dxa" w:w="1040"/>
          </w:tcPr>
          <w:p>
            <w:r>
              <w:t>$1,300 - $1,900</w:t>
            </w:r>
          </w:p>
        </w:tc>
        <w:tc>
          <w:tcPr>
            <w:tcW w:type="dxa" w:w="1040"/>
          </w:tcPr>
          <w:p>
            <w:r>
              <w:t>ALMM listing, BIS certification, CAROTAR 2020 checks (requires proof of &gt;=35% local value addition).</w:t>
            </w:r>
          </w:p>
        </w:tc>
        <w:tc>
          <w:tcPr>
            <w:tcW w:type="dxa" w:w="1040"/>
          </w:tcPr>
          <w:p>
            <w:r>
              <w:t>Medium-Low (No tariff advantage on modules/cells as BCD applies globally; assembly dependent on China)</w:t>
            </w:r>
          </w:p>
        </w:tc>
      </w:tr>
      <w:tr>
        <w:tc>
          <w:tcPr>
            <w:tcW w:type="dxa" w:w="1040"/>
          </w:tcPr>
          <w:p>
            <w:r>
              <w:t>2. Consumer Electronics</w:t>
            </w:r>
          </w:p>
        </w:tc>
        <w:tc>
          <w:tcPr>
            <w:tcW w:type="dxa" w:w="1040"/>
          </w:tcPr>
          <w:p>
            <w:r>
              <w:t>China</w:t>
            </w:r>
          </w:p>
        </w:tc>
        <w:tc>
          <w:tcPr>
            <w:tcW w:type="dxa" w:w="1040"/>
          </w:tcPr>
          <w:p>
            <w:r>
              <w:t>10% - 20%</w:t>
            </w:r>
          </w:p>
        </w:tc>
        <w:tc>
          <w:tcPr>
            <w:tcW w:type="dxa" w:w="1040"/>
          </w:tcPr>
          <w:p>
            <w:r>
              <w:t>10% of BCD</w:t>
            </w:r>
          </w:p>
        </w:tc>
        <w:tc>
          <w:tcPr>
            <w:tcW w:type="dxa" w:w="1040"/>
          </w:tcPr>
          <w:p>
            <w:r>
              <w:t>18%</w:t>
            </w:r>
          </w:p>
        </w:tc>
        <w:tc>
          <w:tcPr>
            <w:tcW w:type="dxa" w:w="1040"/>
          </w:tcPr>
          <w:p>
            <w:r>
              <w:t>12–17 days</w:t>
            </w:r>
          </w:p>
        </w:tc>
        <w:tc>
          <w:tcPr>
            <w:tcW w:type="dxa" w:w="1040"/>
          </w:tcPr>
          <w:p>
            <w:r>
              <w:t>$1,800 - $2,600</w:t>
            </w:r>
          </w:p>
        </w:tc>
        <w:tc>
          <w:tcPr>
            <w:tcW w:type="dxa" w:w="1040"/>
          </w:tcPr>
          <w:p>
            <w:r>
              <w:t>BIS CRS registration, high BCD (20% on phones, 15% on chargers), extended customs clearance times.</w:t>
            </w:r>
          </w:p>
        </w:tc>
        <w:tc>
          <w:tcPr>
            <w:tcW w:type="dxa" w:w="1040"/>
          </w:tcPr>
          <w:p>
            <w:r>
              <w:t>Medium (Infinite catalog and component ecosystem, but high tariffs and regulatory scrutiny)</w:t>
            </w:r>
          </w:p>
        </w:tc>
      </w:tr>
      <w:tr>
        <w:tc>
          <w:tcPr>
            <w:tcW w:type="dxa" w:w="1040"/>
          </w:tcPr>
          <w:p>
            <w:r/>
          </w:p>
        </w:tc>
        <w:tc>
          <w:tcPr>
            <w:tcW w:type="dxa" w:w="1040"/>
          </w:tcPr>
          <w:p>
            <w:r>
              <w:t>Vietnam</w:t>
            </w:r>
          </w:p>
        </w:tc>
        <w:tc>
          <w:tcPr>
            <w:tcW w:type="dxa" w:w="1040"/>
          </w:tcPr>
          <w:p>
            <w:r>
              <w:t>0% - 10%</w:t>
            </w:r>
          </w:p>
        </w:tc>
        <w:tc>
          <w:tcPr>
            <w:tcW w:type="dxa" w:w="1040"/>
          </w:tcPr>
          <w:p>
            <w:r>
              <w:t>10% of BCD</w:t>
            </w:r>
          </w:p>
        </w:tc>
        <w:tc>
          <w:tcPr>
            <w:tcW w:type="dxa" w:w="1040"/>
          </w:tcPr>
          <w:p>
            <w:r>
              <w:t>18%</w:t>
            </w:r>
          </w:p>
        </w:tc>
        <w:tc>
          <w:tcPr>
            <w:tcW w:type="dxa" w:w="1040"/>
          </w:tcPr>
          <w:p>
            <w:r>
              <w:t>10–14 days</w:t>
            </w:r>
          </w:p>
        </w:tc>
        <w:tc>
          <w:tcPr>
            <w:tcW w:type="dxa" w:w="1040"/>
          </w:tcPr>
          <w:p>
            <w:r>
              <w:t>$1,300 - $1,900</w:t>
            </w:r>
          </w:p>
        </w:tc>
        <w:tc>
          <w:tcPr>
            <w:tcW w:type="dxa" w:w="1040"/>
          </w:tcPr>
          <w:p>
            <w:r>
              <w:t>BIS CRS registration, CAROTAR 2020 value-addition checks (AIFTA claims).</w:t>
            </w:r>
          </w:p>
        </w:tc>
        <w:tc>
          <w:tcPr>
            <w:tcW w:type="dxa" w:w="1040"/>
          </w:tcPr>
          <w:p>
            <w:r>
              <w:t>High (Significant tariff savings under AIFTA, faster shipping, direct routes)</w:t>
            </w:r>
          </w:p>
        </w:tc>
      </w:tr>
      <w:tr>
        <w:tc>
          <w:tcPr>
            <w:tcW w:type="dxa" w:w="1040"/>
          </w:tcPr>
          <w:p>
            <w:r>
              <w:t>3. Industrial Machinery</w:t>
            </w:r>
          </w:p>
        </w:tc>
        <w:tc>
          <w:tcPr>
            <w:tcW w:type="dxa" w:w="1040"/>
          </w:tcPr>
          <w:p>
            <w:r>
              <w:t>China</w:t>
            </w:r>
          </w:p>
        </w:tc>
        <w:tc>
          <w:tcPr>
            <w:tcW w:type="dxa" w:w="1040"/>
          </w:tcPr>
          <w:p>
            <w:r>
              <w:t>7.5% - 10%</w:t>
            </w:r>
          </w:p>
        </w:tc>
        <w:tc>
          <w:tcPr>
            <w:tcW w:type="dxa" w:w="1040"/>
          </w:tcPr>
          <w:p>
            <w:r>
              <w:t>10% of BCD</w:t>
            </w:r>
          </w:p>
        </w:tc>
        <w:tc>
          <w:tcPr>
            <w:tcW w:type="dxa" w:w="1040"/>
          </w:tcPr>
          <w:p>
            <w:r>
              <w:t>18%</w:t>
            </w:r>
          </w:p>
        </w:tc>
        <w:tc>
          <w:tcPr>
            <w:tcW w:type="dxa" w:w="1040"/>
          </w:tcPr>
          <w:p>
            <w:r>
              <w:t>18–22 days</w:t>
            </w:r>
          </w:p>
        </w:tc>
        <w:tc>
          <w:tcPr>
            <w:tcW w:type="dxa" w:w="1040"/>
          </w:tcPr>
          <w:p>
            <w:r>
              <w:t>$1,800 - $2,600</w:t>
            </w:r>
          </w:p>
        </w:tc>
        <w:tc>
          <w:tcPr>
            <w:tcW w:type="dxa" w:w="1040"/>
          </w:tcPr>
          <w:p>
            <w:r>
              <w:t>Active Anti-Dumping Duties (ADD) on specific machinery (e.g. injection molding machines 40T to 1000T).</w:t>
            </w:r>
          </w:p>
        </w:tc>
        <w:tc>
          <w:tcPr>
            <w:tcW w:type="dxa" w:w="1040"/>
          </w:tcPr>
          <w:p>
            <w:r>
              <w:t>Medium (Advanced technology and lower FOB prices, but high risk of ADD penalties)</w:t>
            </w:r>
          </w:p>
        </w:tc>
      </w:tr>
      <w:tr>
        <w:tc>
          <w:tcPr>
            <w:tcW w:type="dxa" w:w="1040"/>
          </w:tcPr>
          <w:p>
            <w:r/>
          </w:p>
        </w:tc>
        <w:tc>
          <w:tcPr>
            <w:tcW w:type="dxa" w:w="1040"/>
          </w:tcPr>
          <w:p>
            <w:r>
              <w:t>Vietnam</w:t>
            </w:r>
          </w:p>
        </w:tc>
        <w:tc>
          <w:tcPr>
            <w:tcW w:type="dxa" w:w="1040"/>
          </w:tcPr>
          <w:p>
            <w:r>
              <w:t>0% - 5%</w:t>
            </w:r>
          </w:p>
        </w:tc>
        <w:tc>
          <w:tcPr>
            <w:tcW w:type="dxa" w:w="1040"/>
          </w:tcPr>
          <w:p>
            <w:r>
              <w:t>10% of BCD</w:t>
            </w:r>
          </w:p>
        </w:tc>
        <w:tc>
          <w:tcPr>
            <w:tcW w:type="dxa" w:w="1040"/>
          </w:tcPr>
          <w:p>
            <w:r>
              <w:t>18%</w:t>
            </w:r>
          </w:p>
        </w:tc>
        <w:tc>
          <w:tcPr>
            <w:tcW w:type="dxa" w:w="1040"/>
          </w:tcPr>
          <w:p>
            <w:r>
              <w:t>10–14 days</w:t>
            </w:r>
          </w:p>
        </w:tc>
        <w:tc>
          <w:tcPr>
            <w:tcW w:type="dxa" w:w="1040"/>
          </w:tcPr>
          <w:p>
            <w:r>
              <w:t>$1,300 - $1,900</w:t>
            </w:r>
          </w:p>
        </w:tc>
        <w:tc>
          <w:tcPr>
            <w:tcW w:type="dxa" w:w="1040"/>
          </w:tcPr>
          <w:p>
            <w:r>
              <w:t>CAROTAR 2020 value-addition checks.</w:t>
            </w:r>
          </w:p>
        </w:tc>
        <w:tc>
          <w:tcPr>
            <w:tcW w:type="dxa" w:w="1040"/>
          </w:tcPr>
          <w:p>
            <w:r>
              <w:t>High (Saves customs duties under AIFTA, evades Chinese ADD, fast transit)</w:t>
            </w:r>
          </w:p>
        </w:tc>
      </w:tr>
      <w:tr>
        <w:tc>
          <w:tcPr>
            <w:tcW w:type="dxa" w:w="1040"/>
          </w:tcPr>
          <w:p>
            <w:r>
              <w:t>4. Raw Materials</w:t>
            </w:r>
          </w:p>
        </w:tc>
        <w:tc>
          <w:tcPr>
            <w:tcW w:type="dxa" w:w="1040"/>
          </w:tcPr>
          <w:p>
            <w:r>
              <w:t>China</w:t>
            </w:r>
          </w:p>
        </w:tc>
        <w:tc>
          <w:tcPr>
            <w:tcW w:type="dxa" w:w="1040"/>
          </w:tcPr>
          <w:p>
            <w:r>
              <w:t>7.5% - 15%</w:t>
            </w:r>
          </w:p>
        </w:tc>
        <w:tc>
          <w:tcPr>
            <w:tcW w:type="dxa" w:w="1040"/>
          </w:tcPr>
          <w:p>
            <w:r>
              <w:t>10% of BCD</w:t>
            </w:r>
          </w:p>
        </w:tc>
        <w:tc>
          <w:tcPr>
            <w:tcW w:type="dxa" w:w="1040"/>
          </w:tcPr>
          <w:p>
            <w:r>
              <w:t>18%</w:t>
            </w:r>
          </w:p>
        </w:tc>
        <w:tc>
          <w:tcPr>
            <w:tcW w:type="dxa" w:w="1040"/>
          </w:tcPr>
          <w:p>
            <w:r>
              <w:t>15–22 days</w:t>
            </w:r>
          </w:p>
        </w:tc>
        <w:tc>
          <w:tcPr>
            <w:tcW w:type="dxa" w:w="1040"/>
          </w:tcPr>
          <w:p>
            <w:r>
              <w:t>$1,800 - $2,600</w:t>
            </w:r>
          </w:p>
        </w:tc>
        <w:tc>
          <w:tcPr>
            <w:tcW w:type="dxa" w:w="1040"/>
          </w:tcPr>
          <w:p>
            <w:r>
              <w:t>Active ADD on PVC resin and flat steel, BIS QCOs for steel and chemicals.</w:t>
            </w:r>
          </w:p>
        </w:tc>
        <w:tc>
          <w:tcPr>
            <w:tcW w:type="dxa" w:w="1040"/>
          </w:tcPr>
          <w:p>
            <w:r>
              <w:t>Medium-Low (High tariff + ADD risk, strict chemical QCO import barriers)</w:t>
            </w:r>
          </w:p>
        </w:tc>
      </w:tr>
      <w:tr>
        <w:tc>
          <w:tcPr>
            <w:tcW w:type="dxa" w:w="1040"/>
          </w:tcPr>
          <w:p>
            <w:r/>
          </w:p>
        </w:tc>
        <w:tc>
          <w:tcPr>
            <w:tcW w:type="dxa" w:w="1040"/>
          </w:tcPr>
          <w:p>
            <w:r>
              <w:t>Vietnam</w:t>
            </w:r>
          </w:p>
        </w:tc>
        <w:tc>
          <w:tcPr>
            <w:tcW w:type="dxa" w:w="1040"/>
          </w:tcPr>
          <w:p>
            <w:r>
              <w:t>0% - 5%</w:t>
            </w:r>
          </w:p>
        </w:tc>
        <w:tc>
          <w:tcPr>
            <w:tcW w:type="dxa" w:w="1040"/>
          </w:tcPr>
          <w:p>
            <w:r>
              <w:t>10% of BCD</w:t>
            </w:r>
          </w:p>
        </w:tc>
        <w:tc>
          <w:tcPr>
            <w:tcW w:type="dxa" w:w="1040"/>
          </w:tcPr>
          <w:p>
            <w:r>
              <w:t>18%</w:t>
            </w:r>
          </w:p>
        </w:tc>
        <w:tc>
          <w:tcPr>
            <w:tcW w:type="dxa" w:w="1040"/>
          </w:tcPr>
          <w:p>
            <w:r>
              <w:t>10–14 days</w:t>
            </w:r>
          </w:p>
        </w:tc>
        <w:tc>
          <w:tcPr>
            <w:tcW w:type="dxa" w:w="1040"/>
          </w:tcPr>
          <w:p>
            <w:r>
              <w:t>$1,300 - $1,900</w:t>
            </w:r>
          </w:p>
        </w:tc>
        <w:tc>
          <w:tcPr>
            <w:tcW w:type="dxa" w:w="1040"/>
          </w:tcPr>
          <w:p>
            <w:r>
              <w:t>CAROTAR 2020 checks, BIS QCOs.</w:t>
            </w:r>
          </w:p>
        </w:tc>
        <w:tc>
          <w:tcPr>
            <w:tcW w:type="dxa" w:w="1040"/>
          </w:tcPr>
          <w:p>
            <w:r>
              <w:t>High (Exempt from ADD, low tariffs for PVC resin and steel coils under AIFTA)</w:t>
            </w:r>
          </w:p>
        </w:tc>
      </w:tr>
      <w:tr>
        <w:tc>
          <w:tcPr>
            <w:tcW w:type="dxa" w:w="1040"/>
          </w:tcPr>
          <w:p>
            <w:r>
              <w:t>5. Textiles &amp; Apparel</w:t>
            </w:r>
          </w:p>
        </w:tc>
        <w:tc>
          <w:tcPr>
            <w:tcW w:type="dxa" w:w="1040"/>
          </w:tcPr>
          <w:p>
            <w:r>
              <w:t>China</w:t>
            </w:r>
          </w:p>
        </w:tc>
        <w:tc>
          <w:tcPr>
            <w:tcW w:type="dxa" w:w="1040"/>
          </w:tcPr>
          <w:p>
            <w:r>
              <w:t>10% - 25%</w:t>
            </w:r>
          </w:p>
        </w:tc>
        <w:tc>
          <w:tcPr>
            <w:tcW w:type="dxa" w:w="1040"/>
          </w:tcPr>
          <w:p>
            <w:r>
              <w:t>10% of BCD</w:t>
            </w:r>
          </w:p>
        </w:tc>
        <w:tc>
          <w:tcPr>
            <w:tcW w:type="dxa" w:w="1040"/>
          </w:tcPr>
          <w:p>
            <w:r>
              <w:t>5% / 12%</w:t>
            </w:r>
          </w:p>
        </w:tc>
        <w:tc>
          <w:tcPr>
            <w:tcW w:type="dxa" w:w="1040"/>
          </w:tcPr>
          <w:p>
            <w:r>
              <w:t>15–22 days</w:t>
            </w:r>
          </w:p>
        </w:tc>
        <w:tc>
          <w:tcPr>
            <w:tcW w:type="dxa" w:w="1040"/>
          </w:tcPr>
          <w:p>
            <w:r>
              <w:t>$1,800 - $2,600</w:t>
            </w:r>
          </w:p>
        </w:tc>
        <w:tc>
          <w:tcPr>
            <w:tcW w:type="dxa" w:w="1040"/>
          </w:tcPr>
          <w:p>
            <w:r>
              <w:t>High tariffs (20% on fabrics, 20-25% on garments), BIS QCO on synthetic yarns (IS 17265, IS 17266).</w:t>
            </w:r>
          </w:p>
        </w:tc>
        <w:tc>
          <w:tcPr>
            <w:tcW w:type="dxa" w:w="1040"/>
          </w:tcPr>
          <w:p>
            <w:r>
              <w:t>Medium-Low (High import tariffs on finished apparel and yarn make it uncompetitive)</w:t>
            </w:r>
          </w:p>
        </w:tc>
      </w:tr>
      <w:tr>
        <w:tc>
          <w:tcPr>
            <w:tcW w:type="dxa" w:w="1040"/>
          </w:tcPr>
          <w:p>
            <w:r/>
          </w:p>
        </w:tc>
        <w:tc>
          <w:tcPr>
            <w:tcW w:type="dxa" w:w="1040"/>
          </w:tcPr>
          <w:p>
            <w:r>
              <w:t>Vietnam</w:t>
            </w:r>
          </w:p>
        </w:tc>
        <w:tc>
          <w:tcPr>
            <w:tcW w:type="dxa" w:w="1040"/>
          </w:tcPr>
          <w:p>
            <w:r>
              <w:t>0% - 5%</w:t>
            </w:r>
          </w:p>
        </w:tc>
        <w:tc>
          <w:tcPr>
            <w:tcW w:type="dxa" w:w="1040"/>
          </w:tcPr>
          <w:p>
            <w:r>
              <w:t>10% of BCD</w:t>
            </w:r>
          </w:p>
        </w:tc>
        <w:tc>
          <w:tcPr>
            <w:tcW w:type="dxa" w:w="1040"/>
          </w:tcPr>
          <w:p>
            <w:r>
              <w:t>5% / 12%</w:t>
            </w:r>
          </w:p>
        </w:tc>
        <w:tc>
          <w:tcPr>
            <w:tcW w:type="dxa" w:w="1040"/>
          </w:tcPr>
          <w:p>
            <w:r>
              <w:t>10–14 days</w:t>
            </w:r>
          </w:p>
        </w:tc>
        <w:tc>
          <w:tcPr>
            <w:tcW w:type="dxa" w:w="1040"/>
          </w:tcPr>
          <w:p>
            <w:r>
              <w:t>$800 - $1,300 (20ft)</w:t>
            </w:r>
          </w:p>
        </w:tc>
        <w:tc>
          <w:tcPr>
            <w:tcW w:type="dxa" w:w="1040"/>
          </w:tcPr>
          <w:p>
            <w:r>
              <w:t>CAROTAR 2020 checks, BIS QCO on synthetic yarns.</w:t>
            </w:r>
          </w:p>
        </w:tc>
        <w:tc>
          <w:tcPr>
            <w:tcW w:type="dxa" w:w="1040"/>
          </w:tcPr>
          <w:p>
            <w:r>
              <w:t>Excellent (Saves ~20% BCD on RMG, cheaper freight, faster direct transit)</w:t>
            </w:r>
          </w:p>
        </w:tc>
      </w:tr>
    </w:tbl>
    <w:p>
      <w:r>
        <w:t>---</w:t>
      </w:r>
    </w:p>
    <w:p>
      <w:pPr>
        <w:pStyle w:val="Heading2"/>
      </w:pPr>
      <w:r>
        <w:t>2. Key Sourcing &amp; Trade Viability Factors</w:t>
      </w:r>
    </w:p>
    <w:p>
      <w:pPr>
        <w:pStyle w:val="Heading3"/>
      </w:pPr>
      <w:r>
        <w:t>2.1 Bilateral Tariffs and Customs Duties (AIFTA vs. MFN)</w:t>
      </w:r>
    </w:p>
    <w:p>
      <w:pPr>
        <w:pStyle w:val="ListBullet"/>
      </w:pPr>
      <w:r>
        <w:t xml:space="preserve">  Most Favored Nation (MFN) Rates: Imports from China are subject to standard MFN rates, plus a 10% Social Welfare Surcharge (SWS) calculated on the Basic Customs Duty (BCD), plus the applicable Integrated Goods and Services Tax (IGST). Furthermore, many items from China are subject to heavy Safeguard and Anti-Dumping Duties (ADD).</w:t>
      </w:r>
    </w:p>
    <w:p>
      <w:pPr>
        <w:pStyle w:val="ListBullet"/>
      </w:pPr>
      <w:r>
        <w:t xml:space="preserve">  ASEAN-India Free Trade Area (AIFTA) Preferential Rates: Imports from Vietnam benefit from preferential tariff rates (often reduced to 0%-5%) under the ASEAN-India FTA. This tariff relief applies to consumer electronics, machinery, raw materials (such as PVC resins and steel), and textiles.</w:t>
      </w:r>
    </w:p>
    <w:p>
      <w:pPr>
        <w:pStyle w:val="ListBullet"/>
      </w:pPr>
      <w:r>
        <w:t xml:space="preserve">  Crucial Exception (Solar Equipment): India enforces a uniform 40% BCD on solar modules and 25% BCD on solar cells for all importing countries globally (including FTA partners) to protect domestic PV manufacturers and prevent transshipment. Consequently, Vietnam enjoys no tariff advantage for solar cells and modules.</w:t>
      </w:r>
    </w:p>
    <w:p>
      <w:pPr>
        <w:pStyle w:val="Heading3"/>
      </w:pPr>
      <w:r>
        <w:t>2.2 Shipping and Logistics Routes to Gujarat</w:t>
      </w:r>
    </w:p>
    <w:p>
      <w:r>
        <w:t>Imports destined for Gujarat primarily arrive via maritime freight at Mundra Port (a highly automated, deep-water private port operated by Adani) or Kandla Port (Deendayal Port Trust, specializing in dry and liquid bulk).</w:t>
      </w:r>
    </w:p>
    <w:p>
      <w:pPr>
        <w:pStyle w:val="ListBullet"/>
      </w:pPr>
      <w:r>
        <w:t xml:space="preserve">  Routes from China (Shanghai/Ningbo/Shenzhen): Vessels traverse the East/South China Sea, pass through the Strait of Malacca, cross the Indian Ocean and Arabian Sea, and enter the Gulf of Kutch to dock at Mundra or Kandla.</w:t>
      </w:r>
    </w:p>
    <w:p>
      <w:pPr>
        <w:pStyle w:val="ListBullet"/>
      </w:pPr>
      <w:r>
        <w:t xml:space="preserve">  Transit Time: Direct sailings take 12 to 22 days; transshipment routes (via Singapore or Colombo) require 18 to 30 days.</w:t>
      </w:r>
    </w:p>
    <w:p>
      <w:pPr>
        <w:pStyle w:val="ListBullet"/>
      </w:pPr>
      <w:r>
        <w:t xml:space="preserve">  Routes from Vietnam (Hai Phong/Ho Chi Minh City): Vessels depart from Hai Phong (North) or Ho Chi Minh City (South), routing through the South China Sea and Strait of Malacca to the Arabian Sea.</w:t>
      </w:r>
    </w:p>
    <w:p>
      <w:pPr>
        <w:pStyle w:val="ListBullet"/>
      </w:pPr>
      <w:r>
        <w:t xml:space="preserve">  Transit Time: Direct routes from Ho Chi Minh City take only 10 to 14 days; transshipment routes from Hai Phong take 16 to 22 days.</w:t>
      </w:r>
    </w:p>
    <w:p>
      <w:pPr>
        <w:pStyle w:val="ListBullet"/>
      </w:pPr>
      <w:r>
        <w:t xml:space="preserve">  Freight Cost advantage: Shipping from Vietnam is roughly 15% to 30% cheaper than shipping from East China.</w:t>
      </w:r>
    </w:p>
    <w:p>
      <w:pPr>
        <w:pStyle w:val="Heading3"/>
      </w:pPr>
      <w:r>
        <w:t>2.3 Regulatory and Compliance Hurdles</w:t>
      </w:r>
    </w:p>
    <w:p>
      <w:pPr>
        <w:pStyle w:val="ListBullet"/>
      </w:pPr>
      <w:r>
        <w:t xml:space="preserve">  CAROTAR 2020 (Rules of Origin): Importers claiming preferential tariffs for Vietnamese imports must comply with the Customs Administration of Rules of Origin under Trade Agreements Rules (CAROTAR 2020). Indian customs mandates proof of a minimum 35% local value addition within Vietnam. Importers must hold detailed manufacturing cost sheets, bills of materials (BOM), and production flow charts from the Vietnamese factory to prevent Chinese goods from being transshipped through Vietnam.</w:t>
      </w:r>
    </w:p>
    <w:p>
      <w:pPr>
        <w:pStyle w:val="ListBullet"/>
      </w:pPr>
      <w:r>
        <w:t xml:space="preserve">  BIS Quality Control Orders (QCOs): The Bureau of Indian Standards (BIS) enforces mandatory certifications on foreign manufacturing facilities. This includes:</w:t>
      </w:r>
    </w:p>
    <w:p>
      <w:pPr>
        <w:pStyle w:val="ListBullet"/>
      </w:pPr>
      <w:r>
        <w:t xml:space="preserve">  Textiles: Mandatory BIS certifications for Polyester Staple Fiber (IS 17265) and Polyester Filament Yarn (IS 17266).</w:t>
      </w:r>
    </w:p>
    <w:p>
      <w:pPr>
        <w:pStyle w:val="ListBullet"/>
      </w:pPr>
      <w:r>
        <w:t xml:space="preserve">  Solar: Modules and cells must be registered under the Approved List of Models and Manufacturers (ALMM) and meet IS 14286/IS 61730 standards.</w:t>
      </w:r>
    </w:p>
    <w:p>
      <w:pPr>
        <w:pStyle w:val="ListBullet"/>
      </w:pPr>
      <w:r>
        <w:t xml:space="preserve">  Electronics: Compulsory Registration Scheme (CRS) markers.</w:t>
      </w:r>
    </w:p>
    <w:p>
      <w:pPr>
        <w:pStyle w:val="ListBullet"/>
      </w:pPr>
      <w:r>
        <w:t xml:space="preserve">  Raw Materials: PVC resin and steel grades require mandatory BIS certification before customs clearance.</w:t>
      </w:r>
    </w:p>
    <w:p>
      <w:pPr>
        <w:pStyle w:val="ListBullet"/>
      </w:pPr>
      <w:r>
        <w:t xml:space="preserve">  Anti-Dumping Duties (ADD): Implemented by the Indian Directorate General of Trade Remedies (DGTR) to counter cheap imports. Chinese steel, specific PVC resin grades, and key industrial machinery (such as 40T-1000T plastic injection molding machines) face high ADD rates, which can be bypassed by sourcing from Vietnam.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