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Diagnostic Pathology Analysis Report</w:t>
      </w:r>
    </w:p>
    <w:p>
      <w:pPr>
        <w:jc w:val="center"/>
      </w:pPr>
      <w:r>
        <w:rPr>
          <w:b/>
        </w:rPr>
        <w:t>Case Ref: BC-20260426_200944</w:t>
        <w:br/>
      </w:r>
      <w:r>
        <w:t>Generated on April 26, 2026 at 20:09</w:t>
      </w:r>
    </w:p>
    <w:p>
      <w:pPr>
        <w:jc w:val="center"/>
      </w:pPr>
      <w:r>
        <w:t>___________________________________________________________________________</w:t>
      </w:r>
    </w:p>
    <w:p>
      <w:pPr>
        <w:pStyle w:val="Heading1"/>
      </w:pPr>
      <w:r>
        <w:t>Section I: Diagnostic Conclusion</w:t>
      </w:r>
    </w:p>
    <w:p>
      <w:r>
        <w:rPr>
          <w:b/>
        </w:rPr>
        <w:t xml:space="preserve">PRIMARY DIAGNOSIS: </w:t>
      </w:r>
      <w:r>
        <w:rPr>
          <w:b/>
          <w:color w:val="2A9D8F"/>
          <w:sz w:val="36"/>
        </w:rPr>
        <w:t>BENIGN</w:t>
      </w:r>
    </w:p>
    <w:p>
      <w:pPr>
        <w:pStyle w:val="Quote"/>
      </w:pPr>
      <w:r>
        <w:t>Interpretation: The diagnostic measurements align with benign historical profiles.</w:t>
      </w:r>
    </w:p>
    <w:p>
      <w:r>
        <w:drawing>
          <wp:inline xmlns:a="http://schemas.openxmlformats.org/drawingml/2006/main" xmlns:pic="http://schemas.openxmlformats.org/drawingml/2006/picture">
            <wp:extent cx="4114800" cy="273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_20260426_2009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3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Exhibit A: Patient-Specific Diagnostic Probability Breakdown</w:t>
      </w:r>
    </w:p>
    <w:p>
      <w:pPr>
        <w:pStyle w:val="Heading1"/>
      </w:pPr>
      <w:r>
        <w:t>Section II: Comparative Biological Markers</w:t>
      </w:r>
    </w:p>
    <w:p>
      <w:r>
        <w:drawing>
          <wp:inline xmlns:a="http://schemas.openxmlformats.org/drawingml/2006/main" xmlns:pic="http://schemas.openxmlformats.org/drawingml/2006/picture">
            <wp:extent cx="5303520" cy="4019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o_20260426_2009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19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Exhibit B: Biomarker Shift Profile (Value / Dataset Mean Ratio)</w:t>
      </w:r>
    </w:p>
    <w:p>
      <w:pPr>
        <w:pStyle w:val="Heading1"/>
      </w:pPr>
      <w:r>
        <w:t>Section III: Cluster Space Mapping</w:t>
      </w:r>
    </w:p>
    <w:p>
      <w:r>
        <w:drawing>
          <wp:inline xmlns:a="http://schemas.openxmlformats.org/drawingml/2006/main" xmlns:pic="http://schemas.openxmlformats.org/drawingml/2006/picture">
            <wp:extent cx="5303520" cy="4383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20260426_20094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Exhibit C: Case localization relative to historical biopsies</w:t>
      </w:r>
    </w:p>
    <w:p>
      <w:pPr>
        <w:pStyle w:val="Heading1"/>
      </w:pPr>
      <w:r>
        <w:t>Section IV: Quantitative Biomarker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Biomarker</w:t>
            </w:r>
          </w:p>
        </w:tc>
        <w:tc>
          <w:tcPr>
            <w:tcW w:type="dxa" w:w="2880"/>
          </w:tcPr>
          <w:p>
            <w:r>
              <w:t>Patient Value</w:t>
            </w:r>
          </w:p>
        </w:tc>
        <w:tc>
          <w:tcPr>
            <w:tcW w:type="dxa" w:w="2880"/>
          </w:tcPr>
          <w:p>
            <w:r>
              <w:t>Predictive Weight</w:t>
            </w:r>
          </w:p>
        </w:tc>
      </w:tr>
      <w:tr>
        <w:tc>
          <w:tcPr>
            <w:tcW w:type="dxa" w:w="2880"/>
          </w:tcPr>
          <w:p>
            <w:r>
              <w:t>Worst Perimeter</w:t>
            </w:r>
          </w:p>
        </w:tc>
        <w:tc>
          <w:tcPr>
            <w:tcW w:type="dxa" w:w="2880"/>
          </w:tcPr>
          <w:p>
            <w:r>
              <w:t>107.26120</w:t>
            </w:r>
          </w:p>
        </w:tc>
        <w:tc>
          <w:tcPr>
            <w:tcW w:type="dxa" w:w="2880"/>
          </w:tcPr>
          <w:p>
            <w:r>
              <w:t>13.7%</w:t>
            </w:r>
          </w:p>
        </w:tc>
      </w:tr>
      <w:tr>
        <w:tc>
          <w:tcPr>
            <w:tcW w:type="dxa" w:w="2880"/>
          </w:tcPr>
          <w:p>
            <w:r>
              <w:t>Worst Area</w:t>
            </w:r>
          </w:p>
        </w:tc>
        <w:tc>
          <w:tcPr>
            <w:tcW w:type="dxa" w:w="2880"/>
          </w:tcPr>
          <w:p>
            <w:r>
              <w:t>880.58310</w:t>
            </w:r>
          </w:p>
        </w:tc>
        <w:tc>
          <w:tcPr>
            <w:tcW w:type="dxa" w:w="2880"/>
          </w:tcPr>
          <w:p>
            <w:r>
              <w:t>12.8%</w:t>
            </w:r>
          </w:p>
        </w:tc>
      </w:tr>
      <w:tr>
        <w:tc>
          <w:tcPr>
            <w:tcW w:type="dxa" w:w="2880"/>
          </w:tcPr>
          <w:p>
            <w:r>
              <w:t>Worst Concave Points</w:t>
            </w:r>
          </w:p>
        </w:tc>
        <w:tc>
          <w:tcPr>
            <w:tcW w:type="dxa" w:w="2880"/>
          </w:tcPr>
          <w:p>
            <w:r>
              <w:t>0.11460</w:t>
            </w:r>
          </w:p>
        </w:tc>
        <w:tc>
          <w:tcPr>
            <w:tcW w:type="dxa" w:w="2880"/>
          </w:tcPr>
          <w:p>
            <w:r>
              <w:t>11.2%</w:t>
            </w:r>
          </w:p>
        </w:tc>
      </w:tr>
      <w:tr>
        <w:tc>
          <w:tcPr>
            <w:tcW w:type="dxa" w:w="2880"/>
          </w:tcPr>
          <w:p>
            <w:r>
              <w:t>Worst Radius</w:t>
            </w:r>
          </w:p>
        </w:tc>
        <w:tc>
          <w:tcPr>
            <w:tcW w:type="dxa" w:w="2880"/>
          </w:tcPr>
          <w:p>
            <w:r>
              <w:t>16.26920</w:t>
            </w:r>
          </w:p>
        </w:tc>
        <w:tc>
          <w:tcPr>
            <w:tcW w:type="dxa" w:w="2880"/>
          </w:tcPr>
          <w:p>
            <w:r>
              <w:t>9.2%</w:t>
            </w:r>
          </w:p>
        </w:tc>
      </w:tr>
      <w:tr>
        <w:tc>
          <w:tcPr>
            <w:tcW w:type="dxa" w:w="2880"/>
          </w:tcPr>
          <w:p>
            <w:r>
              <w:t>Mean Concave Points</w:t>
            </w:r>
          </w:p>
        </w:tc>
        <w:tc>
          <w:tcPr>
            <w:tcW w:type="dxa" w:w="2880"/>
          </w:tcPr>
          <w:p>
            <w:r>
              <w:t>0.04890</w:t>
            </w:r>
          </w:p>
        </w:tc>
        <w:tc>
          <w:tcPr>
            <w:tcW w:type="dxa" w:w="2880"/>
          </w:tcPr>
          <w:p>
            <w:r>
              <w:t>9.2%</w:t>
            </w:r>
          </w:p>
        </w:tc>
      </w:tr>
      <w:tr>
        <w:tc>
          <w:tcPr>
            <w:tcW w:type="dxa" w:w="2880"/>
          </w:tcPr>
          <w:p>
            <w:r>
              <w:t>Mean Radius</w:t>
            </w:r>
          </w:p>
        </w:tc>
        <w:tc>
          <w:tcPr>
            <w:tcW w:type="dxa" w:w="2880"/>
          </w:tcPr>
          <w:p>
            <w:r>
              <w:t>14.12730</w:t>
            </w:r>
          </w:p>
        </w:tc>
        <w:tc>
          <w:tcPr>
            <w:tcW w:type="dxa" w:w="2880"/>
          </w:tcPr>
          <w:p>
            <w:r>
              <w:t>5.7%</w:t>
            </w:r>
          </w:p>
        </w:tc>
      </w:tr>
      <w:tr>
        <w:tc>
          <w:tcPr>
            <w:tcW w:type="dxa" w:w="2880"/>
          </w:tcPr>
          <w:p>
            <w:r>
              <w:t>Mean Perimeter</w:t>
            </w:r>
          </w:p>
        </w:tc>
        <w:tc>
          <w:tcPr>
            <w:tcW w:type="dxa" w:w="2880"/>
          </w:tcPr>
          <w:p>
            <w:r>
              <w:t>91.96900</w:t>
            </w:r>
          </w:p>
        </w:tc>
        <w:tc>
          <w:tcPr>
            <w:tcW w:type="dxa" w:w="2880"/>
          </w:tcPr>
          <w:p>
            <w:r>
              <w:t>5.4%</w:t>
            </w:r>
          </w:p>
        </w:tc>
      </w:tr>
    </w:tbl>
    <w:p>
      <w:pPr>
        <w:pStyle w:val="Heading1"/>
      </w:pPr>
      <w:r>
        <w:t>Section V: Medical Disclaimer</w:t>
      </w:r>
    </w:p>
    <w:p>
      <w:r>
        <w:rPr>
          <w:sz w:val="16"/>
        </w:rPr>
        <w:t>This report is an AI-assisted diagnostic aid. Final medical decisions should be made by a board-certified physician.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