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0"/>
          <w:szCs w:val="30"/>
          <w:u w:val="single"/>
        </w:rPr>
      </w:pPr>
      <w:r w:rsidDel="00000000" w:rsidR="00000000" w:rsidRPr="00000000">
        <w:rPr>
          <w:b w:val="1"/>
          <w:sz w:val="30"/>
          <w:szCs w:val="30"/>
          <w:u w:val="single"/>
          <w:rtl w:val="0"/>
        </w:rPr>
        <w:t xml:space="preserve">SPRINT 1 (- to 22 Feb 2019)</w:t>
      </w:r>
    </w:p>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jc w:val="both"/>
        <w:rPr>
          <w:i w:val="1"/>
        </w:rPr>
      </w:pPr>
      <w:r w:rsidDel="00000000" w:rsidR="00000000" w:rsidRPr="00000000">
        <w:rPr>
          <w:b w:val="1"/>
          <w:sz w:val="28"/>
          <w:szCs w:val="28"/>
          <w:rtl w:val="0"/>
        </w:rPr>
        <w:t xml:space="preserve">Commitments: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We will have created our first backlog in Jira.  Each person will have created a backlog item. Each person will have been assigned a backlog item. Each person will have “worked” an item, moving it through the states until it’s closed. The backlog will contain all the items described in this document. We will have started the sprint in Jira.</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We commit to deliver </w:t>
      </w:r>
      <w:r w:rsidDel="00000000" w:rsidR="00000000" w:rsidRPr="00000000">
        <w:rPr>
          <w:rtl w:val="0"/>
        </w:rPr>
        <w:t xml:space="preserve">Junit coverage of existing code which will achieve branch coverage of at least 85% and simple condition coverage 50%.</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We will have documented the immediate steps for sprint1 commitments. These steps will be documented as backlog items that can be assigned to team members.</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We will analyze the code base provided to understand flow and check any scope of refactoring. Hence, we will generate the UML of already existing prattle code.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We will get the base code to master branch which will require 85% code coverage and hence is the testable/ can pass according to quality assurance (Jenkins). Thus the merge process can be a testable metric.</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