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4.4.0 -->
  <w:body>
    <w:p w:rsidR="00A77B3E">
      <w:r>
        <w:rPr>
          <w:color w:val="000000"/>
          <w:lang w:val="en" w:eastAsia="en"/>
        </w:rPr>
        <w:t xml:space="preserve">```html </w:t>
      </w:r>
    </w:p>
    <w:p>
      <w:pPr>
        <w:pStyle w:val="Heading1"/>
        <w:keepNext w:val="0"/>
        <w:spacing w:after="240" w:line="720" w:lineRule="atLeast"/>
        <w:ind w:left="0" w:right="0"/>
        <w:rPr>
          <w:b/>
          <w:bCs/>
          <w:color w:val="000000"/>
          <w:sz w:val="48"/>
          <w:szCs w:val="48"/>
          <w:lang w:val="en" w:eastAsia="en"/>
        </w:rPr>
      </w:pPr>
      <w:r>
        <w:rPr>
          <w:rFonts w:ascii="Times New Roman" w:hAnsi="Times New Roman" w:cs="Times New Roman"/>
          <w:color w:val="000000"/>
          <w:kern w:val="36"/>
          <w:sz w:val="48"/>
          <w:szCs w:val="48"/>
          <w:lang w:val="en" w:eastAsia="en"/>
        </w:rPr>
        <w:t>Due Diligence Report - SK Finance Limited</w:t>
      </w:r>
    </w:p>
    <w:p>
      <w:pPr>
        <w:pStyle w:val="Heading2"/>
        <w:keepNext w:val="0"/>
        <w:spacing w:before="180" w:after="180" w:line="540" w:lineRule="atLeast"/>
        <w:ind w:left="0" w:right="0"/>
        <w:rPr>
          <w:b/>
          <w:bCs/>
          <w:color w:val="000000"/>
          <w:sz w:val="36"/>
          <w:szCs w:val="36"/>
          <w:lang w:val="en" w:eastAsia="en"/>
        </w:rPr>
      </w:pPr>
      <w:r>
        <w:rPr>
          <w:rFonts w:ascii="Times New Roman" w:hAnsi="Times New Roman" w:cs="Times New Roman"/>
          <w:i w:val="0"/>
          <w:iCs w:val="0"/>
          <w:color w:val="000000"/>
          <w:sz w:val="36"/>
          <w:szCs w:val="36"/>
          <w:lang w:val="en" w:eastAsia="en"/>
        </w:rPr>
        <w:t>1. Overview and Business of the Company</w:t>
      </w:r>
    </w:p>
    <w:p>
      <w:pPr>
        <w:pStyle w:val="Heading3"/>
        <w:keepNext w:val="0"/>
        <w:spacing w:before="140" w:after="140" w:line="421" w:lineRule="atLeast"/>
        <w:ind w:left="0" w:right="0"/>
        <w:rPr>
          <w:b/>
          <w:bCs/>
          <w:color w:val="000000"/>
          <w:sz w:val="28"/>
          <w:szCs w:val="28"/>
          <w:lang w:val="en" w:eastAsia="en"/>
        </w:rPr>
      </w:pPr>
      <w:r>
        <w:rPr>
          <w:rFonts w:ascii="Times New Roman" w:hAnsi="Times New Roman" w:cs="Times New Roman"/>
          <w:color w:val="000000"/>
          <w:sz w:val="28"/>
          <w:szCs w:val="28"/>
          <w:lang w:val="en" w:eastAsia="en"/>
        </w:rPr>
        <w:t>1.1 Business of the Company</w:t>
      </w:r>
    </w:p>
    <w:p>
      <w:pPr>
        <w:pStyle w:val="p"/>
        <w:spacing w:before="120" w:after="120" w:line="360" w:lineRule="atLeast"/>
        <w:ind w:left="0" w:right="0"/>
        <w:rPr>
          <w:color w:val="000000"/>
          <w:lang w:val="en" w:eastAsia="en"/>
        </w:rPr>
      </w:pPr>
      <w:r>
        <w:rPr>
          <w:color w:val="000000"/>
          <w:lang w:val="en" w:eastAsia="en"/>
        </w:rPr>
        <w:t>SK Finance Limited is a finance company focused on financial inclusion for unserved and underserved sections of society, with over two decades of experience in the NBFC space. The company offers loans for commercial vehicles, tractors, cars, two-wheelers, and MSMEs.</w:t>
      </w:r>
    </w:p>
    <w:p>
      <w:pPr>
        <w:pStyle w:val="Heading3"/>
        <w:keepNext w:val="0"/>
        <w:spacing w:before="140" w:after="140" w:line="421" w:lineRule="atLeast"/>
        <w:ind w:left="0" w:right="0"/>
        <w:rPr>
          <w:b/>
          <w:bCs/>
          <w:color w:val="000000"/>
          <w:sz w:val="28"/>
          <w:szCs w:val="28"/>
          <w:lang w:val="en" w:eastAsia="en"/>
        </w:rPr>
      </w:pPr>
      <w:r>
        <w:rPr>
          <w:rFonts w:ascii="Times New Roman" w:hAnsi="Times New Roman" w:cs="Times New Roman"/>
          <w:color w:val="000000"/>
          <w:sz w:val="28"/>
          <w:szCs w:val="28"/>
          <w:lang w:val="en" w:eastAsia="en"/>
        </w:rPr>
        <w:t>1.2 Key Information</w:t>
      </w:r>
    </w:p>
    <w:p>
      <w:pPr>
        <w:pStyle w:val="Heading4"/>
        <w:keepNext w:val="0"/>
        <w:spacing w:before="319" w:after="319" w:line="360" w:lineRule="atLeast"/>
        <w:rPr>
          <w:b/>
          <w:bCs/>
          <w:color w:val="000000"/>
          <w:lang w:val="en" w:eastAsia="en"/>
        </w:rPr>
      </w:pPr>
      <w:r>
        <w:rPr>
          <w:color w:val="000000"/>
          <w:sz w:val="24"/>
          <w:szCs w:val="24"/>
          <w:lang w:val="en" w:eastAsia="en"/>
        </w:rPr>
        <w:t>1.2.1 Business Segments</w:t>
      </w:r>
    </w:p>
    <w:p>
      <w:pPr>
        <w:numPr>
          <w:ilvl w:val="0"/>
          <w:numId w:val="1"/>
        </w:numPr>
        <w:spacing w:before="120" w:line="360" w:lineRule="atLeast"/>
        <w:ind w:left="1080" w:right="0" w:hanging="220"/>
        <w:jc w:val="left"/>
        <w:rPr>
          <w:color w:val="000000"/>
          <w:lang w:val="en" w:eastAsia="en"/>
        </w:rPr>
      </w:pPr>
      <w:r>
        <w:rPr>
          <w:color w:val="000000"/>
          <w:lang w:val="en" w:eastAsia="en"/>
        </w:rPr>
        <w:t>Commercial Vehicles</w:t>
      </w:r>
    </w:p>
    <w:p>
      <w:pPr>
        <w:numPr>
          <w:ilvl w:val="0"/>
          <w:numId w:val="1"/>
        </w:numPr>
        <w:spacing w:line="360" w:lineRule="atLeast"/>
        <w:ind w:left="1080" w:right="0" w:hanging="220"/>
        <w:jc w:val="left"/>
        <w:rPr>
          <w:color w:val="000000"/>
          <w:lang w:val="en" w:eastAsia="en"/>
        </w:rPr>
      </w:pPr>
      <w:r>
        <w:rPr>
          <w:color w:val="000000"/>
          <w:lang w:val="en" w:eastAsia="en"/>
        </w:rPr>
        <w:t>Tractors</w:t>
      </w:r>
    </w:p>
    <w:p>
      <w:pPr>
        <w:numPr>
          <w:ilvl w:val="0"/>
          <w:numId w:val="1"/>
        </w:numPr>
        <w:spacing w:line="360" w:lineRule="atLeast"/>
        <w:ind w:left="1080" w:right="0" w:hanging="220"/>
        <w:jc w:val="left"/>
        <w:rPr>
          <w:color w:val="000000"/>
          <w:lang w:val="en" w:eastAsia="en"/>
        </w:rPr>
      </w:pPr>
      <w:r>
        <w:rPr>
          <w:color w:val="000000"/>
          <w:lang w:val="en" w:eastAsia="en"/>
        </w:rPr>
        <w:t>Cars</w:t>
      </w:r>
    </w:p>
    <w:p>
      <w:pPr>
        <w:numPr>
          <w:ilvl w:val="0"/>
          <w:numId w:val="1"/>
        </w:numPr>
        <w:spacing w:line="360" w:lineRule="atLeast"/>
        <w:ind w:left="1080" w:right="0" w:hanging="220"/>
        <w:jc w:val="left"/>
        <w:rPr>
          <w:color w:val="000000"/>
          <w:lang w:val="en" w:eastAsia="en"/>
        </w:rPr>
      </w:pPr>
      <w:r>
        <w:rPr>
          <w:color w:val="000000"/>
          <w:lang w:val="en" w:eastAsia="en"/>
        </w:rPr>
        <w:t>Two-Wheelers</w:t>
      </w:r>
    </w:p>
    <w:p>
      <w:pPr>
        <w:numPr>
          <w:ilvl w:val="0"/>
          <w:numId w:val="1"/>
        </w:numPr>
        <w:spacing w:after="120" w:line="360" w:lineRule="atLeast"/>
        <w:ind w:left="1080" w:right="0" w:hanging="220"/>
        <w:jc w:val="left"/>
        <w:rPr>
          <w:color w:val="000000"/>
          <w:lang w:val="en" w:eastAsia="en"/>
        </w:rPr>
      </w:pPr>
      <w:r>
        <w:rPr>
          <w:color w:val="000000"/>
          <w:lang w:val="en" w:eastAsia="en"/>
        </w:rPr>
        <w:t>MSMEs</w:t>
      </w:r>
    </w:p>
    <w:p>
      <w:pPr>
        <w:pStyle w:val="Heading4"/>
        <w:keepNext w:val="0"/>
        <w:spacing w:before="319" w:after="319" w:line="360" w:lineRule="atLeast"/>
        <w:rPr>
          <w:b/>
          <w:bCs/>
          <w:color w:val="000000"/>
          <w:lang w:val="en" w:eastAsia="en"/>
        </w:rPr>
      </w:pPr>
      <w:r>
        <w:rPr>
          <w:color w:val="000000"/>
          <w:sz w:val="24"/>
          <w:szCs w:val="24"/>
          <w:lang w:val="en" w:eastAsia="en"/>
        </w:rPr>
        <w:t>1.2.2 Branches</w:t>
      </w:r>
    </w:p>
    <w:p>
      <w:pPr>
        <w:pStyle w:val="p"/>
        <w:spacing w:before="120" w:after="120" w:line="360" w:lineRule="atLeast"/>
        <w:ind w:left="0" w:right="0"/>
        <w:rPr>
          <w:color w:val="000000"/>
          <w:lang w:val="en" w:eastAsia="en"/>
        </w:rPr>
      </w:pPr>
      <w:r>
        <w:rPr>
          <w:color w:val="000000"/>
          <w:lang w:val="en" w:eastAsia="en"/>
        </w:rPr>
        <w:t>423 branches across 10 states and union territories including Rajasthan, Punjab, Haryana, Gujarat, Maharashtra, Madhya Pradesh, Chhattisgarh, Himachal Pradesh, Uttarakhand, and Delhi NCR.</w:t>
      </w:r>
    </w:p>
    <w:p>
      <w:pPr>
        <w:pStyle w:val="Heading4"/>
        <w:keepNext w:val="0"/>
        <w:spacing w:before="319" w:after="319" w:line="360" w:lineRule="atLeast"/>
        <w:rPr>
          <w:b/>
          <w:bCs/>
          <w:color w:val="000000"/>
          <w:lang w:val="en" w:eastAsia="en"/>
        </w:rPr>
      </w:pPr>
      <w:r>
        <w:rPr>
          <w:color w:val="000000"/>
          <w:sz w:val="24"/>
          <w:szCs w:val="24"/>
          <w:lang w:val="en" w:eastAsia="en"/>
        </w:rPr>
        <w:t>1.2.3 Any Other Key Details</w:t>
      </w:r>
    </w:p>
    <w:p>
      <w:pPr>
        <w:numPr>
          <w:ilvl w:val="0"/>
          <w:numId w:val="2"/>
        </w:numPr>
        <w:spacing w:before="120" w:line="360" w:lineRule="atLeast"/>
        <w:ind w:left="1080" w:right="0" w:hanging="220"/>
        <w:jc w:val="left"/>
        <w:rPr>
          <w:color w:val="000000"/>
          <w:lang w:val="en" w:eastAsia="en"/>
        </w:rPr>
      </w:pPr>
      <w:r>
        <w:rPr>
          <w:color w:val="000000"/>
          <w:lang w:val="en" w:eastAsia="en"/>
        </w:rPr>
        <w:t>Over 60 active lending partnerships with major institutions</w:t>
      </w:r>
    </w:p>
    <w:p>
      <w:pPr>
        <w:numPr>
          <w:ilvl w:val="0"/>
          <w:numId w:val="2"/>
        </w:numPr>
        <w:spacing w:line="360" w:lineRule="atLeast"/>
        <w:ind w:left="1080" w:right="0" w:hanging="220"/>
        <w:jc w:val="left"/>
        <w:rPr>
          <w:color w:val="000000"/>
          <w:lang w:val="en" w:eastAsia="en"/>
        </w:rPr>
      </w:pPr>
      <w:r>
        <w:rPr>
          <w:color w:val="000000"/>
          <w:lang w:val="en" w:eastAsia="en"/>
        </w:rPr>
        <w:t>Investors include Norwest Venture Partners, Texas Pacific Group, Evolvence Coinvest, Baring Private Equity India, Karma Holdings, IIFL Special Opportunities Fund, MIT Investment Management</w:t>
      </w:r>
    </w:p>
    <w:p>
      <w:pPr>
        <w:numPr>
          <w:ilvl w:val="0"/>
          <w:numId w:val="2"/>
        </w:numPr>
        <w:spacing w:line="360" w:lineRule="atLeast"/>
        <w:ind w:left="1080" w:right="0" w:hanging="220"/>
        <w:jc w:val="left"/>
        <w:rPr>
          <w:color w:val="000000"/>
          <w:lang w:val="en" w:eastAsia="en"/>
        </w:rPr>
      </w:pPr>
      <w:r>
        <w:rPr>
          <w:color w:val="000000"/>
          <w:lang w:val="en" w:eastAsia="en"/>
        </w:rPr>
        <w:t>Vision: To become the most preferred customer and employee-friendly finance company, providing last-mile coverage to unbanked customers</w:t>
      </w:r>
    </w:p>
    <w:p>
      <w:pPr>
        <w:numPr>
          <w:ilvl w:val="0"/>
          <w:numId w:val="2"/>
        </w:numPr>
        <w:spacing w:after="120" w:line="360" w:lineRule="atLeast"/>
        <w:ind w:left="1080" w:right="0" w:hanging="220"/>
        <w:jc w:val="left"/>
        <w:rPr>
          <w:color w:val="000000"/>
          <w:lang w:val="en" w:eastAsia="en"/>
        </w:rPr>
      </w:pPr>
      <w:r>
        <w:rPr>
          <w:color w:val="000000"/>
          <w:lang w:val="en" w:eastAsia="en"/>
        </w:rPr>
        <w:t>Mission: CARE - Customer First, Agility, Reliable, Empathy</w:t>
      </w:r>
    </w:p>
    <w:p>
      <w:pPr>
        <w:pStyle w:val="Heading3"/>
        <w:keepNext w:val="0"/>
        <w:spacing w:before="140" w:after="140" w:line="421" w:lineRule="atLeast"/>
        <w:ind w:left="0" w:right="0"/>
        <w:rPr>
          <w:b/>
          <w:bCs/>
          <w:color w:val="000000"/>
          <w:sz w:val="28"/>
          <w:szCs w:val="28"/>
          <w:lang w:val="en" w:eastAsia="en"/>
        </w:rPr>
      </w:pPr>
      <w:r>
        <w:rPr>
          <w:rFonts w:ascii="Times New Roman" w:hAnsi="Times New Roman" w:cs="Times New Roman"/>
          <w:color w:val="000000"/>
          <w:sz w:val="28"/>
          <w:szCs w:val="28"/>
          <w:lang w:val="en" w:eastAsia="en"/>
        </w:rPr>
        <w:t>1.3 Key Findings</w:t>
      </w:r>
    </w:p>
    <w:p>
      <w:pPr>
        <w:pStyle w:val="Heading4"/>
        <w:keepNext w:val="0"/>
        <w:spacing w:before="319" w:after="319" w:line="360" w:lineRule="atLeast"/>
        <w:rPr>
          <w:b/>
          <w:bCs/>
          <w:color w:val="000000"/>
          <w:lang w:val="en" w:eastAsia="en"/>
        </w:rPr>
      </w:pPr>
      <w:r>
        <w:rPr>
          <w:color w:val="000000"/>
          <w:sz w:val="24"/>
          <w:szCs w:val="24"/>
          <w:lang w:val="en" w:eastAsia="en"/>
        </w:rPr>
        <w:t>1.3.1 Financial Performance</w:t>
      </w:r>
    </w:p>
    <w:p>
      <w:pPr>
        <w:numPr>
          <w:ilvl w:val="0"/>
          <w:numId w:val="3"/>
        </w:numPr>
        <w:spacing w:before="120" w:line="360" w:lineRule="atLeast"/>
        <w:ind w:left="1080" w:right="0" w:hanging="220"/>
        <w:jc w:val="left"/>
        <w:rPr>
          <w:color w:val="000000"/>
          <w:lang w:val="en" w:eastAsia="en"/>
        </w:rPr>
      </w:pPr>
      <w:r>
        <w:rPr>
          <w:color w:val="000000"/>
          <w:lang w:val="en" w:eastAsia="en"/>
        </w:rPr>
        <w:t>AUM: ₹4,714 crore</w:t>
      </w:r>
    </w:p>
    <w:p>
      <w:pPr>
        <w:numPr>
          <w:ilvl w:val="0"/>
          <w:numId w:val="3"/>
        </w:numPr>
        <w:spacing w:line="360" w:lineRule="atLeast"/>
        <w:ind w:left="1080" w:right="0" w:hanging="220"/>
        <w:jc w:val="left"/>
        <w:rPr>
          <w:color w:val="000000"/>
          <w:lang w:val="en" w:eastAsia="en"/>
        </w:rPr>
      </w:pPr>
      <w:r>
        <w:rPr>
          <w:color w:val="000000"/>
          <w:lang w:val="en" w:eastAsia="en"/>
        </w:rPr>
        <w:t>Disbursements: ₹3,226 crore</w:t>
      </w:r>
    </w:p>
    <w:p>
      <w:pPr>
        <w:numPr>
          <w:ilvl w:val="0"/>
          <w:numId w:val="3"/>
        </w:numPr>
        <w:spacing w:line="360" w:lineRule="atLeast"/>
        <w:ind w:left="1080" w:right="0" w:hanging="220"/>
        <w:jc w:val="left"/>
        <w:rPr>
          <w:color w:val="000000"/>
          <w:lang w:val="en" w:eastAsia="en"/>
        </w:rPr>
      </w:pPr>
      <w:r>
        <w:rPr>
          <w:color w:val="000000"/>
          <w:lang w:val="en" w:eastAsia="en"/>
        </w:rPr>
        <w:t>Net Profit: ₹143 crore</w:t>
      </w:r>
    </w:p>
    <w:p>
      <w:pPr>
        <w:numPr>
          <w:ilvl w:val="0"/>
          <w:numId w:val="3"/>
        </w:numPr>
        <w:spacing w:line="360" w:lineRule="atLeast"/>
        <w:ind w:left="1080" w:right="0" w:hanging="220"/>
        <w:jc w:val="left"/>
        <w:rPr>
          <w:color w:val="000000"/>
          <w:lang w:val="en" w:eastAsia="en"/>
        </w:rPr>
      </w:pPr>
      <w:r>
        <w:rPr>
          <w:color w:val="000000"/>
          <w:lang w:val="en" w:eastAsia="en"/>
        </w:rPr>
        <w:t>Revenue: ₹821 crore</w:t>
      </w:r>
    </w:p>
    <w:p>
      <w:pPr>
        <w:numPr>
          <w:ilvl w:val="0"/>
          <w:numId w:val="3"/>
        </w:numPr>
        <w:spacing w:line="360" w:lineRule="atLeast"/>
        <w:ind w:left="1080" w:right="0" w:hanging="220"/>
        <w:jc w:val="left"/>
        <w:rPr>
          <w:color w:val="000000"/>
          <w:lang w:val="en" w:eastAsia="en"/>
        </w:rPr>
      </w:pPr>
      <w:r>
        <w:rPr>
          <w:color w:val="000000"/>
          <w:lang w:val="en" w:eastAsia="en"/>
        </w:rPr>
        <w:t>Net Worth: ₹1,596 crore</w:t>
      </w:r>
    </w:p>
    <w:p>
      <w:pPr>
        <w:numPr>
          <w:ilvl w:val="0"/>
          <w:numId w:val="3"/>
        </w:numPr>
        <w:spacing w:line="360" w:lineRule="atLeast"/>
        <w:ind w:left="1080" w:right="0" w:hanging="220"/>
        <w:jc w:val="left"/>
        <w:rPr>
          <w:color w:val="000000"/>
          <w:lang w:val="en" w:eastAsia="en"/>
        </w:rPr>
      </w:pPr>
      <w:r>
        <w:rPr>
          <w:color w:val="000000"/>
          <w:lang w:val="en" w:eastAsia="en"/>
        </w:rPr>
        <w:t>Active Loan Accounts: 2,33,635</w:t>
      </w:r>
    </w:p>
    <w:p>
      <w:pPr>
        <w:numPr>
          <w:ilvl w:val="0"/>
          <w:numId w:val="3"/>
        </w:numPr>
        <w:spacing w:line="360" w:lineRule="atLeast"/>
        <w:ind w:left="1080" w:right="0" w:hanging="220"/>
        <w:jc w:val="left"/>
        <w:rPr>
          <w:color w:val="000000"/>
          <w:lang w:val="en" w:eastAsia="en"/>
        </w:rPr>
      </w:pPr>
      <w:r>
        <w:rPr>
          <w:color w:val="000000"/>
          <w:lang w:val="en" w:eastAsia="en"/>
        </w:rPr>
        <w:t>Gross Stage 3: 2.83%</w:t>
      </w:r>
    </w:p>
    <w:p>
      <w:pPr>
        <w:numPr>
          <w:ilvl w:val="0"/>
          <w:numId w:val="3"/>
        </w:numPr>
        <w:spacing w:line="360" w:lineRule="atLeast"/>
        <w:ind w:left="1080" w:right="0" w:hanging="220"/>
        <w:jc w:val="left"/>
        <w:rPr>
          <w:color w:val="000000"/>
          <w:lang w:val="en" w:eastAsia="en"/>
        </w:rPr>
      </w:pPr>
      <w:r>
        <w:rPr>
          <w:color w:val="000000"/>
          <w:lang w:val="en" w:eastAsia="en"/>
        </w:rPr>
        <w:t>Net Stage 3: 2.04%</w:t>
      </w:r>
    </w:p>
    <w:p>
      <w:pPr>
        <w:numPr>
          <w:ilvl w:val="0"/>
          <w:numId w:val="3"/>
        </w:numPr>
        <w:spacing w:after="120" w:line="360" w:lineRule="atLeast"/>
        <w:ind w:left="1080" w:right="0" w:hanging="220"/>
        <w:jc w:val="left"/>
        <w:rPr>
          <w:color w:val="000000"/>
          <w:lang w:val="en" w:eastAsia="en"/>
        </w:rPr>
      </w:pPr>
      <w:r>
        <w:rPr>
          <w:color w:val="000000"/>
          <w:lang w:val="en" w:eastAsia="en"/>
        </w:rPr>
        <w:t>CSR budget: ₹1.89 crore</w:t>
      </w:r>
    </w:p>
    <w:p>
      <w:pPr>
        <w:pStyle w:val="Heading4"/>
        <w:keepNext w:val="0"/>
        <w:spacing w:before="319" w:after="319" w:line="360" w:lineRule="atLeast"/>
        <w:rPr>
          <w:b/>
          <w:bCs/>
          <w:color w:val="000000"/>
          <w:lang w:val="en" w:eastAsia="en"/>
        </w:rPr>
      </w:pPr>
      <w:r>
        <w:rPr>
          <w:color w:val="000000"/>
          <w:sz w:val="24"/>
          <w:szCs w:val="24"/>
          <w:lang w:val="en" w:eastAsia="en"/>
        </w:rPr>
        <w:t>1.3.2 Any Other Key Finding</w:t>
      </w:r>
    </w:p>
    <w:p>
      <w:pPr>
        <w:numPr>
          <w:ilvl w:val="0"/>
          <w:numId w:val="4"/>
        </w:numPr>
        <w:spacing w:before="120" w:line="360" w:lineRule="atLeast"/>
        <w:ind w:left="1080" w:right="0" w:hanging="220"/>
        <w:jc w:val="left"/>
        <w:rPr>
          <w:color w:val="000000"/>
          <w:lang w:val="en" w:eastAsia="en"/>
        </w:rPr>
      </w:pPr>
      <w:r>
        <w:rPr>
          <w:color w:val="000000"/>
          <w:lang w:val="en" w:eastAsia="en"/>
        </w:rPr>
        <w:t>Strong focus on digitalization and leveraging technology for efficiency</w:t>
      </w:r>
    </w:p>
    <w:p>
      <w:pPr>
        <w:numPr>
          <w:ilvl w:val="0"/>
          <w:numId w:val="4"/>
        </w:numPr>
        <w:spacing w:line="360" w:lineRule="atLeast"/>
        <w:ind w:left="1080" w:right="0" w:hanging="220"/>
        <w:jc w:val="left"/>
        <w:rPr>
          <w:color w:val="000000"/>
          <w:lang w:val="en" w:eastAsia="en"/>
        </w:rPr>
      </w:pPr>
      <w:r>
        <w:rPr>
          <w:color w:val="000000"/>
          <w:lang w:val="en" w:eastAsia="en"/>
        </w:rPr>
        <w:t>Emphasis on environmental, social, and governance (ESG) issues</w:t>
      </w:r>
    </w:p>
    <w:p>
      <w:pPr>
        <w:numPr>
          <w:ilvl w:val="0"/>
          <w:numId w:val="4"/>
        </w:numPr>
        <w:spacing w:after="120" w:line="360" w:lineRule="atLeast"/>
        <w:ind w:left="1080" w:right="0" w:hanging="220"/>
        <w:jc w:val="left"/>
        <w:rPr>
          <w:color w:val="000000"/>
          <w:lang w:val="en" w:eastAsia="en"/>
        </w:rPr>
      </w:pPr>
      <w:r>
        <w:rPr>
          <w:color w:val="000000"/>
          <w:lang w:val="en" w:eastAsia="en"/>
        </w:rPr>
        <w:t>People-centric approach with emphasis on learning and development, diversity, equity, and inclusion</w:t>
      </w:r>
    </w:p>
    <w:p>
      <w:pPr>
        <w:pStyle w:val="Heading2"/>
        <w:keepNext w:val="0"/>
        <w:spacing w:before="180" w:after="180" w:line="540" w:lineRule="atLeast"/>
        <w:ind w:left="0" w:right="0"/>
        <w:rPr>
          <w:b/>
          <w:bCs/>
          <w:color w:val="000000"/>
          <w:sz w:val="36"/>
          <w:szCs w:val="36"/>
          <w:lang w:val="en" w:eastAsia="en"/>
        </w:rPr>
      </w:pPr>
      <w:r>
        <w:rPr>
          <w:rFonts w:ascii="Times New Roman" w:hAnsi="Times New Roman" w:cs="Times New Roman"/>
          <w:i w:val="0"/>
          <w:iCs w:val="0"/>
          <w:color w:val="000000"/>
          <w:sz w:val="36"/>
          <w:szCs w:val="36"/>
          <w:lang w:val="en" w:eastAsia="en"/>
        </w:rPr>
        <w:t>2. Corporate Details</w:t>
      </w:r>
    </w:p>
    <w:p>
      <w:pPr>
        <w:pStyle w:val="Heading3"/>
        <w:keepNext w:val="0"/>
        <w:spacing w:before="140" w:after="140" w:line="421" w:lineRule="atLeast"/>
        <w:ind w:left="0" w:right="0"/>
        <w:rPr>
          <w:b/>
          <w:bCs/>
          <w:color w:val="000000"/>
          <w:sz w:val="28"/>
          <w:szCs w:val="28"/>
          <w:lang w:val="en" w:eastAsia="en"/>
        </w:rPr>
      </w:pPr>
      <w:r>
        <w:rPr>
          <w:rFonts w:ascii="Times New Roman" w:hAnsi="Times New Roman" w:cs="Times New Roman"/>
          <w:color w:val="000000"/>
          <w:sz w:val="28"/>
          <w:szCs w:val="28"/>
          <w:lang w:val="en" w:eastAsia="en"/>
        </w:rPr>
        <w:t>2.1 Corporate Overview</w:t>
      </w:r>
    </w:p>
    <w:tbl>
      <w:tblPr>
        <w:tblStyle w:val="table"/>
        <w:tblW w:w="5000" w:type="pct"/>
        <w:tblInd w:w="136" w:type="dxa"/>
        <w:tblCellMar>
          <w:top w:w="15" w:type="dxa"/>
          <w:left w:w="15" w:type="dxa"/>
          <w:bottom w:w="15" w:type="dxa"/>
          <w:right w:w="15" w:type="dxa"/>
        </w:tblCellMar>
        <w:tblLook w:val="05E0"/>
      </w:tblPr>
      <w:tblGrid>
        <w:gridCol w:w="3456"/>
        <w:gridCol w:w="5814"/>
      </w:tblGrid>
      <w:tr>
        <w:tblPrEx>
          <w:tblW w:w="5000" w:type="pct"/>
          <w:tblInd w:w="136"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shd w:val="clear" w:color="auto" w:fill="F2F2F2"/>
            <w:noWrap w:val="0"/>
            <w:tcMar>
              <w:top w:w="120" w:type="dxa"/>
              <w:left w:w="128" w:type="dxa"/>
              <w:bottom w:w="120" w:type="dxa"/>
              <w:right w:w="128" w:type="dxa"/>
            </w:tcMar>
            <w:vAlign w:val="center"/>
            <w:hideMark/>
          </w:tcPr>
          <w:p>
            <w:pPr>
              <w:jc w:val="left"/>
              <w:rPr>
                <w:b/>
                <w:bCs/>
                <w:i w:val="0"/>
                <w:iCs w:val="0"/>
                <w:smallCaps w:val="0"/>
                <w:color w:val="000000"/>
                <w:lang w:val="en" w:eastAsia="en"/>
              </w:rPr>
            </w:pPr>
            <w:r>
              <w:rPr>
                <w:b/>
                <w:bCs/>
                <w:i w:val="0"/>
                <w:iCs w:val="0"/>
                <w:smallCaps w:val="0"/>
                <w:color w:val="000000"/>
                <w:lang w:val="en" w:eastAsia="en"/>
              </w:rPr>
              <w:t>Item</w:t>
            </w:r>
          </w:p>
        </w:tc>
        <w:tc>
          <w:tcPr>
            <w:tcBorders>
              <w:top w:val="single" w:sz="6" w:space="0" w:color="000000"/>
              <w:left w:val="single" w:sz="6" w:space="0" w:color="000000"/>
              <w:bottom w:val="single" w:sz="6" w:space="0" w:color="000000"/>
              <w:right w:val="single" w:sz="6" w:space="0" w:color="000000"/>
            </w:tcBorders>
            <w:shd w:val="clear" w:color="auto" w:fill="F2F2F2"/>
            <w:noWrap w:val="0"/>
            <w:tcMar>
              <w:top w:w="120" w:type="dxa"/>
              <w:left w:w="128" w:type="dxa"/>
              <w:bottom w:w="120" w:type="dxa"/>
              <w:right w:w="128" w:type="dxa"/>
            </w:tcMar>
            <w:vAlign w:val="center"/>
            <w:hideMark/>
          </w:tcPr>
          <w:p>
            <w:pPr>
              <w:jc w:val="left"/>
              <w:rPr>
                <w:b/>
                <w:bCs/>
                <w:i w:val="0"/>
                <w:iCs w:val="0"/>
                <w:smallCaps w:val="0"/>
                <w:color w:val="000000"/>
                <w:lang w:val="en" w:eastAsia="en"/>
              </w:rPr>
            </w:pPr>
            <w:r>
              <w:rPr>
                <w:b/>
                <w:bCs/>
                <w:i w:val="0"/>
                <w:iCs w:val="0"/>
                <w:smallCaps w:val="0"/>
                <w:color w:val="000000"/>
                <w:lang w:val="en" w:eastAsia="en"/>
              </w:rPr>
              <w:t>Details</w:t>
            </w:r>
          </w:p>
        </w:tc>
      </w:tr>
      <w:tr>
        <w:tblPrEx>
          <w:tblW w:w="5000" w:type="pct"/>
          <w:tblInd w:w="136"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Name of the company</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SK Finance Limited</w:t>
            </w:r>
          </w:p>
        </w:tc>
      </w:tr>
      <w:tr>
        <w:tblPrEx>
          <w:tblW w:w="5000" w:type="pct"/>
          <w:tblInd w:w="136"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Registered office</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G 1-2, New Market, Khasa Kothi, Jaipur – 302001, Rajasthan</w:t>
            </w:r>
          </w:p>
        </w:tc>
      </w:tr>
      <w:tr>
        <w:tblPrEx>
          <w:tblW w:w="5000" w:type="pct"/>
          <w:tblInd w:w="136"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Date of Incorporation</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1994</w:t>
            </w:r>
          </w:p>
        </w:tc>
      </w:tr>
      <w:tr>
        <w:tblPrEx>
          <w:tblW w:w="5000" w:type="pct"/>
          <w:tblInd w:w="136"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Place of Incorporation</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Jaipur, Rajasthan</w:t>
            </w:r>
          </w:p>
        </w:tc>
      </w:tr>
      <w:tr>
        <w:tblPrEx>
          <w:tblW w:w="5000" w:type="pct"/>
          <w:tblInd w:w="136"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Corporate Status</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Public Limited Company</w:t>
            </w:r>
          </w:p>
        </w:tc>
      </w:tr>
      <w:tr>
        <w:tblPrEx>
          <w:tblW w:w="5000" w:type="pct"/>
          <w:tblInd w:w="136"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Corporate Identification number (CIN)</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U65923RJ1994PLC009051</w:t>
            </w:r>
          </w:p>
        </w:tc>
      </w:tr>
      <w:tr>
        <w:tblPrEx>
          <w:tblW w:w="5000" w:type="pct"/>
          <w:tblInd w:w="136"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Authorized share capital</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₹30,00,00,000/- divided into 15,00,00,000 equity shares of ₹2/- each</w:t>
            </w:r>
          </w:p>
        </w:tc>
      </w:tr>
      <w:tr>
        <w:tblPrEx>
          <w:tblW w:w="5000" w:type="pct"/>
          <w:tblInd w:w="136"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Paid up capital</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₹5,81,66,148.25/-</w:t>
            </w:r>
          </w:p>
        </w:tc>
      </w:tr>
    </w:tbl>
    <w:p>
      <w:pPr>
        <w:pStyle w:val="Heading3"/>
        <w:keepNext w:val="0"/>
        <w:spacing w:before="140" w:after="140" w:line="421" w:lineRule="atLeast"/>
        <w:ind w:left="0" w:right="0"/>
        <w:rPr>
          <w:b/>
          <w:bCs/>
          <w:color w:val="000000"/>
          <w:sz w:val="28"/>
          <w:szCs w:val="28"/>
          <w:lang w:val="en" w:eastAsia="en"/>
        </w:rPr>
      </w:pPr>
      <w:r>
        <w:rPr>
          <w:rFonts w:ascii="Times New Roman" w:hAnsi="Times New Roman" w:cs="Times New Roman"/>
          <w:color w:val="000000"/>
          <w:sz w:val="28"/>
          <w:szCs w:val="28"/>
          <w:lang w:val="en" w:eastAsia="en"/>
        </w:rPr>
        <w:t>2.2 Directors</w:t>
      </w:r>
    </w:p>
    <w:tbl>
      <w:tblPr>
        <w:tblStyle w:val="table"/>
        <w:tblW w:w="5000" w:type="pct"/>
        <w:tblInd w:w="136" w:type="dxa"/>
        <w:tblCellMar>
          <w:top w:w="15" w:type="dxa"/>
          <w:left w:w="15" w:type="dxa"/>
          <w:bottom w:w="15" w:type="dxa"/>
          <w:right w:w="15" w:type="dxa"/>
        </w:tblCellMar>
        <w:tblLook w:val="05E0"/>
      </w:tblPr>
      <w:tblGrid>
        <w:gridCol w:w="2028"/>
        <w:gridCol w:w="1345"/>
        <w:gridCol w:w="1917"/>
        <w:gridCol w:w="3980"/>
      </w:tblGrid>
      <w:tr>
        <w:tblPrEx>
          <w:tblW w:w="5000" w:type="pct"/>
          <w:tblInd w:w="136"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shd w:val="clear" w:color="auto" w:fill="F2F2F2"/>
            <w:noWrap w:val="0"/>
            <w:tcMar>
              <w:top w:w="120" w:type="dxa"/>
              <w:left w:w="128" w:type="dxa"/>
              <w:bottom w:w="120" w:type="dxa"/>
              <w:right w:w="128" w:type="dxa"/>
            </w:tcMar>
            <w:vAlign w:val="center"/>
            <w:hideMark/>
          </w:tcPr>
          <w:p>
            <w:pPr>
              <w:jc w:val="left"/>
              <w:rPr>
                <w:b/>
                <w:bCs/>
                <w:i w:val="0"/>
                <w:iCs w:val="0"/>
                <w:smallCaps w:val="0"/>
                <w:color w:val="000000"/>
                <w:lang w:val="en" w:eastAsia="en"/>
              </w:rPr>
            </w:pPr>
            <w:r>
              <w:rPr>
                <w:b/>
                <w:bCs/>
                <w:i w:val="0"/>
                <w:iCs w:val="0"/>
                <w:smallCaps w:val="0"/>
                <w:color w:val="000000"/>
                <w:lang w:val="en" w:eastAsia="en"/>
              </w:rPr>
              <w:t>Name</w:t>
            </w:r>
          </w:p>
        </w:tc>
        <w:tc>
          <w:tcPr>
            <w:tcBorders>
              <w:top w:val="single" w:sz="6" w:space="0" w:color="000000"/>
              <w:left w:val="single" w:sz="6" w:space="0" w:color="000000"/>
              <w:bottom w:val="single" w:sz="6" w:space="0" w:color="000000"/>
              <w:right w:val="single" w:sz="6" w:space="0" w:color="000000"/>
            </w:tcBorders>
            <w:shd w:val="clear" w:color="auto" w:fill="F2F2F2"/>
            <w:noWrap w:val="0"/>
            <w:tcMar>
              <w:top w:w="120" w:type="dxa"/>
              <w:left w:w="128" w:type="dxa"/>
              <w:bottom w:w="120" w:type="dxa"/>
              <w:right w:w="128" w:type="dxa"/>
            </w:tcMar>
            <w:vAlign w:val="center"/>
            <w:hideMark/>
          </w:tcPr>
          <w:p>
            <w:pPr>
              <w:jc w:val="left"/>
              <w:rPr>
                <w:b/>
                <w:bCs/>
                <w:i w:val="0"/>
                <w:iCs w:val="0"/>
                <w:smallCaps w:val="0"/>
                <w:color w:val="000000"/>
                <w:lang w:val="en" w:eastAsia="en"/>
              </w:rPr>
            </w:pPr>
            <w:r>
              <w:rPr>
                <w:b/>
                <w:bCs/>
                <w:i w:val="0"/>
                <w:iCs w:val="0"/>
                <w:smallCaps w:val="0"/>
                <w:color w:val="000000"/>
                <w:lang w:val="en" w:eastAsia="en"/>
              </w:rPr>
              <w:t>Nationality</w:t>
            </w:r>
          </w:p>
        </w:tc>
        <w:tc>
          <w:tcPr>
            <w:tcBorders>
              <w:top w:val="single" w:sz="6" w:space="0" w:color="000000"/>
              <w:left w:val="single" w:sz="6" w:space="0" w:color="000000"/>
              <w:bottom w:val="single" w:sz="6" w:space="0" w:color="000000"/>
              <w:right w:val="single" w:sz="6" w:space="0" w:color="000000"/>
            </w:tcBorders>
            <w:shd w:val="clear" w:color="auto" w:fill="F2F2F2"/>
            <w:noWrap w:val="0"/>
            <w:tcMar>
              <w:top w:w="120" w:type="dxa"/>
              <w:left w:w="128" w:type="dxa"/>
              <w:bottom w:w="120" w:type="dxa"/>
              <w:right w:w="128" w:type="dxa"/>
            </w:tcMar>
            <w:vAlign w:val="center"/>
            <w:hideMark/>
          </w:tcPr>
          <w:p>
            <w:pPr>
              <w:jc w:val="left"/>
              <w:rPr>
                <w:b/>
                <w:bCs/>
                <w:i w:val="0"/>
                <w:iCs w:val="0"/>
                <w:smallCaps w:val="0"/>
                <w:color w:val="000000"/>
                <w:lang w:val="en" w:eastAsia="en"/>
              </w:rPr>
            </w:pPr>
            <w:r>
              <w:rPr>
                <w:b/>
                <w:bCs/>
                <w:i w:val="0"/>
                <w:iCs w:val="0"/>
                <w:smallCaps w:val="0"/>
                <w:color w:val="000000"/>
                <w:lang w:val="en" w:eastAsia="en"/>
              </w:rPr>
              <w:t>Date of Appointment</w:t>
            </w:r>
          </w:p>
        </w:tc>
        <w:tc>
          <w:tcPr>
            <w:tcBorders>
              <w:top w:val="single" w:sz="6" w:space="0" w:color="000000"/>
              <w:left w:val="single" w:sz="6" w:space="0" w:color="000000"/>
              <w:bottom w:val="single" w:sz="6" w:space="0" w:color="000000"/>
              <w:right w:val="single" w:sz="6" w:space="0" w:color="000000"/>
            </w:tcBorders>
            <w:shd w:val="clear" w:color="auto" w:fill="F2F2F2"/>
            <w:noWrap w:val="0"/>
            <w:tcMar>
              <w:top w:w="120" w:type="dxa"/>
              <w:left w:w="128" w:type="dxa"/>
              <w:bottom w:w="120" w:type="dxa"/>
              <w:right w:w="128" w:type="dxa"/>
            </w:tcMar>
            <w:vAlign w:val="center"/>
            <w:hideMark/>
          </w:tcPr>
          <w:p>
            <w:pPr>
              <w:jc w:val="left"/>
              <w:rPr>
                <w:b/>
                <w:bCs/>
                <w:i w:val="0"/>
                <w:iCs w:val="0"/>
                <w:smallCaps w:val="0"/>
                <w:color w:val="000000"/>
                <w:lang w:val="en" w:eastAsia="en"/>
              </w:rPr>
            </w:pPr>
            <w:r>
              <w:rPr>
                <w:b/>
                <w:bCs/>
                <w:i w:val="0"/>
                <w:iCs w:val="0"/>
                <w:smallCaps w:val="0"/>
                <w:color w:val="000000"/>
                <w:lang w:val="en" w:eastAsia="en"/>
              </w:rPr>
              <w:t>Type of Director</w:t>
            </w:r>
          </w:p>
        </w:tc>
      </w:tr>
      <w:tr>
        <w:tblPrEx>
          <w:tblW w:w="5000" w:type="pct"/>
          <w:tblInd w:w="136"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Amar Lal Daultani</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Indian</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Not specified</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Non-Executive Independent Director</w:t>
            </w:r>
          </w:p>
        </w:tc>
      </w:tr>
      <w:tr>
        <w:tblPrEx>
          <w:tblW w:w="5000" w:type="pct"/>
          <w:tblInd w:w="136"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Rajendra Kumar Setia</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Indian</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Not specified</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Managing Director and Chief Executive Officer</w:t>
            </w:r>
          </w:p>
        </w:tc>
      </w:tr>
      <w:tr>
        <w:tblPrEx>
          <w:tblW w:w="5000" w:type="pct"/>
          <w:tblInd w:w="136"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Yash Setia</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Indian</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Not specified</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Whole-time Director</w:t>
            </w:r>
          </w:p>
        </w:tc>
      </w:tr>
      <w:tr>
        <w:tblPrEx>
          <w:tblW w:w="5000" w:type="pct"/>
          <w:tblInd w:w="136"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Anand Raghavan</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Indian</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Not specified</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Non-Executive Independent Director</w:t>
            </w:r>
          </w:p>
        </w:tc>
      </w:tr>
      <w:tr>
        <w:tblPrEx>
          <w:tblW w:w="5000" w:type="pct"/>
          <w:tblInd w:w="136"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Nanda Sameer Dave</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Indian</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Not specified</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Non-Executive Independent Director</w:t>
            </w:r>
          </w:p>
        </w:tc>
      </w:tr>
      <w:tr>
        <w:tblPrEx>
          <w:tblW w:w="5000" w:type="pct"/>
          <w:tblInd w:w="136"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Mukul Mathur</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Indian</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Not specified</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Non-Executive Independent Director</w:t>
            </w:r>
          </w:p>
        </w:tc>
      </w:tr>
      <w:tr>
        <w:tblPrEx>
          <w:tblW w:w="5000" w:type="pct"/>
          <w:tblInd w:w="136"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Simit Batra</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Indian</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Not specified</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Non-Executive Director</w:t>
            </w:r>
          </w:p>
        </w:tc>
      </w:tr>
      <w:tr>
        <w:tblPrEx>
          <w:tblW w:w="5000" w:type="pct"/>
          <w:tblInd w:w="136"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Debanshi Basu</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Indian</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Not specified</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Non-Executive Director</w:t>
            </w:r>
          </w:p>
        </w:tc>
      </w:tr>
    </w:tbl>
    <w:p>
      <w:pPr>
        <w:pStyle w:val="Heading3"/>
        <w:keepNext w:val="0"/>
        <w:spacing w:before="140" w:after="140" w:line="421" w:lineRule="atLeast"/>
        <w:ind w:left="0" w:right="0"/>
        <w:rPr>
          <w:b/>
          <w:bCs/>
          <w:color w:val="000000"/>
          <w:sz w:val="28"/>
          <w:szCs w:val="28"/>
          <w:lang w:val="en" w:eastAsia="en"/>
        </w:rPr>
      </w:pPr>
      <w:r>
        <w:rPr>
          <w:rFonts w:ascii="Times New Roman" w:hAnsi="Times New Roman" w:cs="Times New Roman"/>
          <w:color w:val="000000"/>
          <w:sz w:val="28"/>
          <w:szCs w:val="28"/>
          <w:lang w:val="en" w:eastAsia="en"/>
        </w:rPr>
        <w:t>2.3 Share Capital of the Company</w:t>
      </w:r>
    </w:p>
    <w:p>
      <w:pPr>
        <w:pStyle w:val="Heading4"/>
        <w:keepNext w:val="0"/>
        <w:spacing w:before="319" w:after="319" w:line="360" w:lineRule="atLeast"/>
        <w:rPr>
          <w:b/>
          <w:bCs/>
          <w:color w:val="000000"/>
          <w:lang w:val="en" w:eastAsia="en"/>
        </w:rPr>
      </w:pPr>
      <w:r>
        <w:rPr>
          <w:color w:val="000000"/>
          <w:sz w:val="24"/>
          <w:szCs w:val="24"/>
          <w:lang w:val="en" w:eastAsia="en"/>
        </w:rPr>
        <w:t>2.3.1 Details about Paid Up Share Capital and Equity Shares</w:t>
      </w:r>
    </w:p>
    <w:p>
      <w:pPr>
        <w:pStyle w:val="p"/>
        <w:spacing w:before="120" w:after="120" w:line="360" w:lineRule="atLeast"/>
        <w:ind w:left="0" w:right="0"/>
        <w:rPr>
          <w:color w:val="000000"/>
          <w:lang w:val="en" w:eastAsia="en"/>
        </w:rPr>
      </w:pPr>
      <w:r>
        <w:rPr>
          <w:color w:val="000000"/>
          <w:lang w:val="en" w:eastAsia="en"/>
        </w:rPr>
        <w:t>Authorized Share Capital: ₹30,00,00,000/- divided into 15,00,00,000 equity shares of ₹2/- each.</w:t>
      </w:r>
      <w:r>
        <w:rPr>
          <w:color w:val="000000"/>
          <w:lang w:val="en" w:eastAsia="en"/>
        </w:rPr>
        <w:br/>
      </w:r>
      <w:r>
        <w:rPr>
          <w:color w:val="000000"/>
          <w:lang w:val="en" w:eastAsia="en"/>
        </w:rPr>
        <w:t>Paid Up Share Capital: ₹5,81,66,148.25/-</w:t>
      </w:r>
    </w:p>
    <w:p>
      <w:pPr>
        <w:pStyle w:val="Heading4"/>
        <w:keepNext w:val="0"/>
        <w:spacing w:before="319" w:after="319" w:line="360" w:lineRule="atLeast"/>
        <w:rPr>
          <w:b/>
          <w:bCs/>
          <w:color w:val="000000"/>
          <w:lang w:val="en" w:eastAsia="en"/>
        </w:rPr>
      </w:pPr>
      <w:r>
        <w:rPr>
          <w:color w:val="000000"/>
          <w:sz w:val="24"/>
          <w:szCs w:val="24"/>
          <w:lang w:val="en" w:eastAsia="en"/>
        </w:rPr>
        <w:t>2.3.2 Dividend Declaration</w:t>
      </w:r>
    </w:p>
    <w:tbl>
      <w:tblPr>
        <w:tblStyle w:val="table"/>
        <w:tblW w:w="5000" w:type="pct"/>
        <w:tblInd w:w="136" w:type="dxa"/>
        <w:tblCellMar>
          <w:top w:w="15" w:type="dxa"/>
          <w:left w:w="15" w:type="dxa"/>
          <w:bottom w:w="15" w:type="dxa"/>
          <w:right w:w="15" w:type="dxa"/>
        </w:tblCellMar>
        <w:tblLook w:val="05E0"/>
      </w:tblPr>
      <w:tblGrid>
        <w:gridCol w:w="1964"/>
        <w:gridCol w:w="2262"/>
        <w:gridCol w:w="2677"/>
        <w:gridCol w:w="2368"/>
      </w:tblGrid>
      <w:tr>
        <w:tblPrEx>
          <w:tblW w:w="5000" w:type="pct"/>
          <w:tblInd w:w="136"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shd w:val="clear" w:color="auto" w:fill="F2F2F2"/>
            <w:noWrap w:val="0"/>
            <w:tcMar>
              <w:top w:w="120" w:type="dxa"/>
              <w:left w:w="128" w:type="dxa"/>
              <w:bottom w:w="120" w:type="dxa"/>
              <w:right w:w="128" w:type="dxa"/>
            </w:tcMar>
            <w:vAlign w:val="center"/>
            <w:hideMark/>
          </w:tcPr>
          <w:p>
            <w:pPr>
              <w:jc w:val="left"/>
              <w:rPr>
                <w:b/>
                <w:bCs/>
                <w:i w:val="0"/>
                <w:iCs w:val="0"/>
                <w:smallCaps w:val="0"/>
                <w:color w:val="000000"/>
                <w:lang w:val="en" w:eastAsia="en"/>
              </w:rPr>
            </w:pPr>
            <w:r>
              <w:rPr>
                <w:b/>
                <w:bCs/>
                <w:i w:val="0"/>
                <w:iCs w:val="0"/>
                <w:smallCaps w:val="0"/>
                <w:color w:val="000000"/>
                <w:lang w:val="en" w:eastAsia="en"/>
              </w:rPr>
              <w:t>Financial Year</w:t>
            </w:r>
          </w:p>
        </w:tc>
        <w:tc>
          <w:tcPr>
            <w:tcBorders>
              <w:top w:val="single" w:sz="6" w:space="0" w:color="000000"/>
              <w:left w:val="single" w:sz="6" w:space="0" w:color="000000"/>
              <w:bottom w:val="single" w:sz="6" w:space="0" w:color="000000"/>
              <w:right w:val="single" w:sz="6" w:space="0" w:color="000000"/>
            </w:tcBorders>
            <w:shd w:val="clear" w:color="auto" w:fill="F2F2F2"/>
            <w:noWrap w:val="0"/>
            <w:tcMar>
              <w:top w:w="120" w:type="dxa"/>
              <w:left w:w="128" w:type="dxa"/>
              <w:bottom w:w="120" w:type="dxa"/>
              <w:right w:w="128" w:type="dxa"/>
            </w:tcMar>
            <w:vAlign w:val="center"/>
            <w:hideMark/>
          </w:tcPr>
          <w:p>
            <w:pPr>
              <w:jc w:val="left"/>
              <w:rPr>
                <w:b/>
                <w:bCs/>
                <w:i w:val="0"/>
                <w:iCs w:val="0"/>
                <w:smallCaps w:val="0"/>
                <w:color w:val="000000"/>
                <w:lang w:val="en" w:eastAsia="en"/>
              </w:rPr>
            </w:pPr>
            <w:r>
              <w:rPr>
                <w:b/>
                <w:bCs/>
                <w:i w:val="0"/>
                <w:iCs w:val="0"/>
                <w:smallCaps w:val="0"/>
                <w:color w:val="000000"/>
                <w:lang w:val="en" w:eastAsia="en"/>
              </w:rPr>
              <w:t>Rate of Dividend</w:t>
            </w:r>
          </w:p>
        </w:tc>
        <w:tc>
          <w:tcPr>
            <w:tcBorders>
              <w:top w:val="single" w:sz="6" w:space="0" w:color="000000"/>
              <w:left w:val="single" w:sz="6" w:space="0" w:color="000000"/>
              <w:bottom w:val="single" w:sz="6" w:space="0" w:color="000000"/>
              <w:right w:val="single" w:sz="6" w:space="0" w:color="000000"/>
            </w:tcBorders>
            <w:shd w:val="clear" w:color="auto" w:fill="F2F2F2"/>
            <w:noWrap w:val="0"/>
            <w:tcMar>
              <w:top w:w="120" w:type="dxa"/>
              <w:left w:w="128" w:type="dxa"/>
              <w:bottom w:w="120" w:type="dxa"/>
              <w:right w:w="128" w:type="dxa"/>
            </w:tcMar>
            <w:vAlign w:val="center"/>
            <w:hideMark/>
          </w:tcPr>
          <w:p>
            <w:pPr>
              <w:jc w:val="left"/>
              <w:rPr>
                <w:b/>
                <w:bCs/>
                <w:i w:val="0"/>
                <w:iCs w:val="0"/>
                <w:smallCaps w:val="0"/>
                <w:color w:val="000000"/>
                <w:lang w:val="en" w:eastAsia="en"/>
              </w:rPr>
            </w:pPr>
            <w:r>
              <w:rPr>
                <w:b/>
                <w:bCs/>
                <w:i w:val="0"/>
                <w:iCs w:val="0"/>
                <w:smallCaps w:val="0"/>
                <w:color w:val="000000"/>
                <w:lang w:val="en" w:eastAsia="en"/>
              </w:rPr>
              <w:t>Amount of Dividend</w:t>
            </w:r>
          </w:p>
        </w:tc>
        <w:tc>
          <w:tcPr>
            <w:tcBorders>
              <w:top w:val="single" w:sz="6" w:space="0" w:color="000000"/>
              <w:left w:val="single" w:sz="6" w:space="0" w:color="000000"/>
              <w:bottom w:val="single" w:sz="6" w:space="0" w:color="000000"/>
              <w:right w:val="single" w:sz="6" w:space="0" w:color="000000"/>
            </w:tcBorders>
            <w:shd w:val="clear" w:color="auto" w:fill="F2F2F2"/>
            <w:noWrap w:val="0"/>
            <w:tcMar>
              <w:top w:w="120" w:type="dxa"/>
              <w:left w:w="128" w:type="dxa"/>
              <w:bottom w:w="120" w:type="dxa"/>
              <w:right w:w="128" w:type="dxa"/>
            </w:tcMar>
            <w:vAlign w:val="center"/>
            <w:hideMark/>
          </w:tcPr>
          <w:p>
            <w:pPr>
              <w:jc w:val="left"/>
              <w:rPr>
                <w:b/>
                <w:bCs/>
                <w:i w:val="0"/>
                <w:iCs w:val="0"/>
                <w:smallCaps w:val="0"/>
                <w:color w:val="000000"/>
                <w:lang w:val="en" w:eastAsia="en"/>
              </w:rPr>
            </w:pPr>
            <w:r>
              <w:rPr>
                <w:b/>
                <w:bCs/>
                <w:i w:val="0"/>
                <w:iCs w:val="0"/>
                <w:smallCaps w:val="0"/>
                <w:color w:val="000000"/>
                <w:lang w:val="en" w:eastAsia="en"/>
              </w:rPr>
              <w:t>Status of Payment</w:t>
            </w:r>
          </w:p>
        </w:tc>
      </w:tr>
      <w:tr>
        <w:tblPrEx>
          <w:tblW w:w="5000" w:type="pct"/>
          <w:tblInd w:w="136" w:type="dxa"/>
          <w:tblCellMar>
            <w:top w:w="15" w:type="dxa"/>
            <w:left w:w="15" w:type="dxa"/>
            <w:bottom w:w="15" w:type="dxa"/>
            <w:right w:w="15" w:type="dxa"/>
          </w:tblCellMar>
          <w:tblLook w:val="05E0"/>
        </w:tblPrEx>
        <w:tc>
          <w:tcPr>
            <w:gridSpan w:val="4"/>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FF0000"/>
                <w:lang w:val="en" w:eastAsia="en"/>
              </w:rPr>
            </w:pPr>
            <w:r>
              <w:rPr>
                <w:b w:val="0"/>
                <w:bCs w:val="0"/>
                <w:i w:val="0"/>
                <w:iCs w:val="0"/>
                <w:smallCaps w:val="0"/>
                <w:color w:val="FF0000"/>
                <w:lang w:val="en" w:eastAsia="en"/>
              </w:rPr>
              <w:t>Require more documents for this section</w:t>
            </w:r>
          </w:p>
        </w:tc>
      </w:tr>
    </w:tbl>
    <w:p>
      <w:pPr>
        <w:pStyle w:val="Heading3"/>
        <w:keepNext w:val="0"/>
        <w:spacing w:before="140" w:after="140" w:line="421" w:lineRule="atLeast"/>
        <w:ind w:left="0" w:right="0"/>
        <w:rPr>
          <w:b/>
          <w:bCs/>
          <w:color w:val="000000"/>
          <w:sz w:val="28"/>
          <w:szCs w:val="28"/>
          <w:lang w:val="en" w:eastAsia="en"/>
        </w:rPr>
      </w:pPr>
      <w:r>
        <w:rPr>
          <w:rFonts w:ascii="Times New Roman" w:hAnsi="Times New Roman" w:cs="Times New Roman"/>
          <w:color w:val="000000"/>
          <w:sz w:val="28"/>
          <w:szCs w:val="28"/>
          <w:lang w:val="en" w:eastAsia="en"/>
        </w:rPr>
        <w:t>2.4 Investments by the Company</w:t>
      </w:r>
    </w:p>
    <w:p>
      <w:pPr>
        <w:pStyle w:val="Heading4"/>
        <w:keepNext w:val="0"/>
        <w:spacing w:before="319" w:after="319" w:line="360" w:lineRule="atLeast"/>
        <w:rPr>
          <w:b/>
          <w:bCs/>
          <w:color w:val="000000"/>
          <w:lang w:val="en" w:eastAsia="en"/>
        </w:rPr>
      </w:pPr>
      <w:r>
        <w:rPr>
          <w:color w:val="000000"/>
          <w:sz w:val="24"/>
          <w:szCs w:val="24"/>
          <w:lang w:val="en" w:eastAsia="en"/>
        </w:rPr>
        <w:t>2.4.1 Any Subsidiaries and Associate Companies</w:t>
      </w:r>
    </w:p>
    <w:p>
      <w:pPr>
        <w:pStyle w:val="require-more-docs"/>
        <w:spacing w:before="120" w:after="120" w:line="360" w:lineRule="atLeast"/>
        <w:ind w:left="0" w:right="0"/>
        <w:rPr>
          <w:color w:val="FF0000"/>
          <w:lang w:val="en" w:eastAsia="en"/>
        </w:rPr>
      </w:pPr>
      <w:r>
        <w:rPr>
          <w:lang w:val="en" w:eastAsia="en"/>
        </w:rPr>
        <w:t>Require more documents for this section</w:t>
      </w:r>
    </w:p>
    <w:p>
      <w:pPr>
        <w:pStyle w:val="Heading4"/>
        <w:keepNext w:val="0"/>
        <w:spacing w:before="319" w:after="319" w:line="360" w:lineRule="atLeast"/>
        <w:rPr>
          <w:b/>
          <w:bCs/>
          <w:color w:val="000000"/>
          <w:lang w:val="en" w:eastAsia="en"/>
        </w:rPr>
      </w:pPr>
      <w:r>
        <w:rPr>
          <w:color w:val="000000"/>
          <w:sz w:val="24"/>
          <w:szCs w:val="24"/>
          <w:lang w:val="en" w:eastAsia="en"/>
        </w:rPr>
        <w:t>2.4.2 Other Investment Details</w:t>
      </w:r>
    </w:p>
    <w:p>
      <w:pPr>
        <w:pStyle w:val="require-more-docs"/>
        <w:spacing w:before="120" w:after="120" w:line="360" w:lineRule="atLeast"/>
        <w:ind w:left="0" w:right="0"/>
        <w:rPr>
          <w:color w:val="FF0000"/>
          <w:lang w:val="en" w:eastAsia="en"/>
        </w:rPr>
      </w:pPr>
      <w:r>
        <w:rPr>
          <w:lang w:val="en" w:eastAsia="en"/>
        </w:rPr>
        <w:t>Require more documents for this section</w:t>
      </w:r>
    </w:p>
    <w:p>
      <w:pPr>
        <w:pStyle w:val="Heading3"/>
        <w:keepNext w:val="0"/>
        <w:spacing w:before="140" w:after="140" w:line="421" w:lineRule="atLeast"/>
        <w:ind w:left="0" w:right="0"/>
        <w:rPr>
          <w:b/>
          <w:bCs/>
          <w:color w:val="000000"/>
          <w:sz w:val="28"/>
          <w:szCs w:val="28"/>
          <w:lang w:val="en" w:eastAsia="en"/>
        </w:rPr>
      </w:pPr>
      <w:r>
        <w:rPr>
          <w:rFonts w:ascii="Times New Roman" w:hAnsi="Times New Roman" w:cs="Times New Roman"/>
          <w:color w:val="000000"/>
          <w:sz w:val="28"/>
          <w:szCs w:val="28"/>
          <w:lang w:val="en" w:eastAsia="en"/>
        </w:rPr>
        <w:t>2.5 Constituent Document of the Company</w:t>
      </w:r>
    </w:p>
    <w:p>
      <w:pPr>
        <w:pStyle w:val="Heading4"/>
        <w:keepNext w:val="0"/>
        <w:spacing w:before="319" w:after="319" w:line="360" w:lineRule="atLeast"/>
        <w:rPr>
          <w:b/>
          <w:bCs/>
          <w:color w:val="000000"/>
          <w:lang w:val="en" w:eastAsia="en"/>
        </w:rPr>
      </w:pPr>
      <w:r>
        <w:rPr>
          <w:color w:val="000000"/>
          <w:sz w:val="24"/>
          <w:szCs w:val="24"/>
          <w:lang w:val="en" w:eastAsia="en"/>
        </w:rPr>
        <w:t>2.5.1 MOA Summary</w:t>
      </w:r>
    </w:p>
    <w:p>
      <w:pPr>
        <w:pStyle w:val="require-more-docs"/>
        <w:spacing w:before="120" w:after="120" w:line="360" w:lineRule="atLeast"/>
        <w:ind w:left="0" w:right="0"/>
        <w:rPr>
          <w:color w:val="FF0000"/>
          <w:lang w:val="en" w:eastAsia="en"/>
        </w:rPr>
      </w:pPr>
      <w:r>
        <w:rPr>
          <w:lang w:val="en" w:eastAsia="en"/>
        </w:rPr>
        <w:t>Require more documents for this section</w:t>
      </w:r>
    </w:p>
    <w:p>
      <w:pPr>
        <w:pStyle w:val="Heading4"/>
        <w:keepNext w:val="0"/>
        <w:spacing w:before="319" w:after="319" w:line="360" w:lineRule="atLeast"/>
        <w:rPr>
          <w:b/>
          <w:bCs/>
          <w:color w:val="000000"/>
          <w:lang w:val="en" w:eastAsia="en"/>
        </w:rPr>
      </w:pPr>
      <w:r>
        <w:rPr>
          <w:color w:val="000000"/>
          <w:sz w:val="24"/>
          <w:szCs w:val="24"/>
          <w:lang w:val="en" w:eastAsia="en"/>
        </w:rPr>
        <w:t>2.5.2 AOA Summary</w:t>
      </w:r>
    </w:p>
    <w:p>
      <w:pPr>
        <w:pStyle w:val="require-more-docs"/>
        <w:spacing w:before="120" w:after="120" w:line="360" w:lineRule="atLeast"/>
        <w:ind w:left="0" w:right="0"/>
        <w:rPr>
          <w:color w:val="FF0000"/>
          <w:lang w:val="en" w:eastAsia="en"/>
        </w:rPr>
      </w:pPr>
      <w:r>
        <w:rPr>
          <w:lang w:val="en" w:eastAsia="en"/>
        </w:rPr>
        <w:t>Require more documents for this section</w:t>
      </w:r>
    </w:p>
    <w:p>
      <w:pPr>
        <w:pStyle w:val="Heading3"/>
        <w:keepNext w:val="0"/>
        <w:spacing w:before="140" w:after="140" w:line="421" w:lineRule="atLeast"/>
        <w:ind w:left="0" w:right="0"/>
        <w:rPr>
          <w:b/>
          <w:bCs/>
          <w:color w:val="000000"/>
          <w:sz w:val="28"/>
          <w:szCs w:val="28"/>
          <w:lang w:val="en" w:eastAsia="en"/>
        </w:rPr>
      </w:pPr>
      <w:r>
        <w:rPr>
          <w:rFonts w:ascii="Times New Roman" w:hAnsi="Times New Roman" w:cs="Times New Roman"/>
          <w:color w:val="000000"/>
          <w:sz w:val="28"/>
          <w:szCs w:val="28"/>
          <w:lang w:val="en" w:eastAsia="en"/>
        </w:rPr>
        <w:t>2.6 Board and Board Committees</w:t>
      </w:r>
    </w:p>
    <w:p>
      <w:pPr>
        <w:pStyle w:val="Heading4"/>
        <w:keepNext w:val="0"/>
        <w:spacing w:before="319" w:after="319" w:line="360" w:lineRule="atLeast"/>
        <w:rPr>
          <w:b/>
          <w:bCs/>
          <w:color w:val="000000"/>
          <w:lang w:val="en" w:eastAsia="en"/>
        </w:rPr>
      </w:pPr>
      <w:r>
        <w:rPr>
          <w:color w:val="000000"/>
          <w:sz w:val="24"/>
          <w:szCs w:val="24"/>
          <w:lang w:val="en" w:eastAsia="en"/>
        </w:rPr>
        <w:t>2.6.1 Board Composition Table</w:t>
      </w:r>
    </w:p>
    <w:tbl>
      <w:tblPr>
        <w:tblStyle w:val="table"/>
        <w:tblW w:w="5000" w:type="pct"/>
        <w:tblInd w:w="136" w:type="dxa"/>
        <w:tblCellMar>
          <w:top w:w="15" w:type="dxa"/>
          <w:left w:w="15" w:type="dxa"/>
          <w:bottom w:w="15" w:type="dxa"/>
          <w:right w:w="15" w:type="dxa"/>
        </w:tblCellMar>
        <w:tblLook w:val="05E0"/>
      </w:tblPr>
      <w:tblGrid>
        <w:gridCol w:w="2000"/>
        <w:gridCol w:w="4038"/>
        <w:gridCol w:w="3232"/>
      </w:tblGrid>
      <w:tr>
        <w:tblPrEx>
          <w:tblW w:w="5000" w:type="pct"/>
          <w:tblInd w:w="136"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shd w:val="clear" w:color="auto" w:fill="F2F2F2"/>
            <w:noWrap w:val="0"/>
            <w:tcMar>
              <w:top w:w="120" w:type="dxa"/>
              <w:left w:w="128" w:type="dxa"/>
              <w:bottom w:w="120" w:type="dxa"/>
              <w:right w:w="128" w:type="dxa"/>
            </w:tcMar>
            <w:vAlign w:val="center"/>
            <w:hideMark/>
          </w:tcPr>
          <w:p>
            <w:pPr>
              <w:jc w:val="left"/>
              <w:rPr>
                <w:b/>
                <w:bCs/>
                <w:i w:val="0"/>
                <w:iCs w:val="0"/>
                <w:smallCaps w:val="0"/>
                <w:color w:val="000000"/>
                <w:lang w:val="en" w:eastAsia="en"/>
              </w:rPr>
            </w:pPr>
            <w:r>
              <w:rPr>
                <w:b/>
                <w:bCs/>
                <w:i w:val="0"/>
                <w:iCs w:val="0"/>
                <w:smallCaps w:val="0"/>
                <w:color w:val="000000"/>
                <w:lang w:val="en" w:eastAsia="en"/>
              </w:rPr>
              <w:t>Name</w:t>
            </w:r>
          </w:p>
        </w:tc>
        <w:tc>
          <w:tcPr>
            <w:tcBorders>
              <w:top w:val="single" w:sz="6" w:space="0" w:color="000000"/>
              <w:left w:val="single" w:sz="6" w:space="0" w:color="000000"/>
              <w:bottom w:val="single" w:sz="6" w:space="0" w:color="000000"/>
              <w:right w:val="single" w:sz="6" w:space="0" w:color="000000"/>
            </w:tcBorders>
            <w:shd w:val="clear" w:color="auto" w:fill="F2F2F2"/>
            <w:noWrap w:val="0"/>
            <w:tcMar>
              <w:top w:w="120" w:type="dxa"/>
              <w:left w:w="128" w:type="dxa"/>
              <w:bottom w:w="120" w:type="dxa"/>
              <w:right w:w="128" w:type="dxa"/>
            </w:tcMar>
            <w:vAlign w:val="center"/>
            <w:hideMark/>
          </w:tcPr>
          <w:p>
            <w:pPr>
              <w:jc w:val="left"/>
              <w:rPr>
                <w:b/>
                <w:bCs/>
                <w:i w:val="0"/>
                <w:iCs w:val="0"/>
                <w:smallCaps w:val="0"/>
                <w:color w:val="000000"/>
                <w:lang w:val="en" w:eastAsia="en"/>
              </w:rPr>
            </w:pPr>
            <w:r>
              <w:rPr>
                <w:b/>
                <w:bCs/>
                <w:i w:val="0"/>
                <w:iCs w:val="0"/>
                <w:smallCaps w:val="0"/>
                <w:color w:val="000000"/>
                <w:lang w:val="en" w:eastAsia="en"/>
              </w:rPr>
              <w:t>Designation</w:t>
            </w:r>
          </w:p>
        </w:tc>
        <w:tc>
          <w:tcPr>
            <w:tcBorders>
              <w:top w:val="single" w:sz="6" w:space="0" w:color="000000"/>
              <w:left w:val="single" w:sz="6" w:space="0" w:color="000000"/>
              <w:bottom w:val="single" w:sz="6" w:space="0" w:color="000000"/>
              <w:right w:val="single" w:sz="6" w:space="0" w:color="000000"/>
            </w:tcBorders>
            <w:shd w:val="clear" w:color="auto" w:fill="F2F2F2"/>
            <w:noWrap w:val="0"/>
            <w:tcMar>
              <w:top w:w="120" w:type="dxa"/>
              <w:left w:w="128" w:type="dxa"/>
              <w:bottom w:w="120" w:type="dxa"/>
              <w:right w:w="128" w:type="dxa"/>
            </w:tcMar>
            <w:vAlign w:val="center"/>
            <w:hideMark/>
          </w:tcPr>
          <w:p>
            <w:pPr>
              <w:jc w:val="left"/>
              <w:rPr>
                <w:b/>
                <w:bCs/>
                <w:i w:val="0"/>
                <w:iCs w:val="0"/>
                <w:smallCaps w:val="0"/>
                <w:color w:val="000000"/>
                <w:lang w:val="en" w:eastAsia="en"/>
              </w:rPr>
            </w:pPr>
            <w:r>
              <w:rPr>
                <w:b/>
                <w:bCs/>
                <w:i w:val="0"/>
                <w:iCs w:val="0"/>
                <w:smallCaps w:val="0"/>
                <w:color w:val="000000"/>
                <w:lang w:val="en" w:eastAsia="en"/>
              </w:rPr>
              <w:t>Type</w:t>
            </w:r>
          </w:p>
        </w:tc>
      </w:tr>
      <w:tr>
        <w:tblPrEx>
          <w:tblW w:w="5000" w:type="pct"/>
          <w:tblInd w:w="136"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Amar Lal Daultani</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Chairperson</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Non-Executive Independent Director</w:t>
            </w:r>
          </w:p>
        </w:tc>
      </w:tr>
      <w:tr>
        <w:tblPrEx>
          <w:tblW w:w="5000" w:type="pct"/>
          <w:tblInd w:w="136"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Rajendra Kumar Setia</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Managing Director and Chief Executive Officer</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Executive Director</w:t>
            </w:r>
          </w:p>
        </w:tc>
      </w:tr>
      <w:tr>
        <w:tblPrEx>
          <w:tblW w:w="5000" w:type="pct"/>
          <w:tblInd w:w="136"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Yash Setia</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Whole-time Director</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Executive Director</w:t>
            </w:r>
          </w:p>
        </w:tc>
      </w:tr>
      <w:tr>
        <w:tblPrEx>
          <w:tblW w:w="5000" w:type="pct"/>
          <w:tblInd w:w="136"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Anand Raghavan</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Director</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Non-Executive Independent Director</w:t>
            </w:r>
          </w:p>
        </w:tc>
      </w:tr>
      <w:tr>
        <w:tblPrEx>
          <w:tblW w:w="5000" w:type="pct"/>
          <w:tblInd w:w="136"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Nanda Sameer Dave</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Director</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Non-Executive Independent Director</w:t>
            </w:r>
          </w:p>
        </w:tc>
      </w:tr>
      <w:tr>
        <w:tblPrEx>
          <w:tblW w:w="5000" w:type="pct"/>
          <w:tblInd w:w="136"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Mukul Mathur</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Director</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Non-Executive Independent Director</w:t>
            </w:r>
          </w:p>
        </w:tc>
      </w:tr>
      <w:tr>
        <w:tblPrEx>
          <w:tblW w:w="5000" w:type="pct"/>
          <w:tblInd w:w="136"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Simit Batra</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Director</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Non-Executive Director</w:t>
            </w:r>
          </w:p>
        </w:tc>
      </w:tr>
      <w:tr>
        <w:tblPrEx>
          <w:tblW w:w="5000" w:type="pct"/>
          <w:tblInd w:w="136"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Debanshi Basu</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Director</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Non-Executive Director</w:t>
            </w:r>
          </w:p>
        </w:tc>
      </w:tr>
    </w:tbl>
    <w:p>
      <w:pPr>
        <w:pStyle w:val="Heading4"/>
        <w:keepNext w:val="0"/>
        <w:spacing w:before="319" w:after="319" w:line="360" w:lineRule="atLeast"/>
        <w:rPr>
          <w:b/>
          <w:bCs/>
          <w:color w:val="000000"/>
          <w:lang w:val="en" w:eastAsia="en"/>
        </w:rPr>
      </w:pPr>
      <w:r>
        <w:rPr>
          <w:color w:val="000000"/>
          <w:sz w:val="24"/>
          <w:szCs w:val="24"/>
          <w:lang w:val="en" w:eastAsia="en"/>
        </w:rPr>
        <w:t>2.6.2 Board Meetings</w:t>
      </w:r>
    </w:p>
    <w:p>
      <w:pPr>
        <w:numPr>
          <w:ilvl w:val="0"/>
          <w:numId w:val="5"/>
        </w:numPr>
        <w:spacing w:before="120" w:line="360" w:lineRule="atLeast"/>
        <w:ind w:left="1080" w:right="0" w:hanging="220"/>
        <w:jc w:val="left"/>
        <w:rPr>
          <w:color w:val="000000"/>
          <w:lang w:val="en" w:eastAsia="en"/>
        </w:rPr>
      </w:pPr>
      <w:r>
        <w:rPr>
          <w:color w:val="000000"/>
          <w:lang w:val="en" w:eastAsia="en"/>
        </w:rPr>
        <w:t>Frequency: 14 meetings held during the year</w:t>
      </w:r>
    </w:p>
    <w:p>
      <w:pPr>
        <w:numPr>
          <w:ilvl w:val="0"/>
          <w:numId w:val="5"/>
        </w:numPr>
        <w:spacing w:line="360" w:lineRule="atLeast"/>
        <w:ind w:left="1080" w:right="0" w:hanging="220"/>
        <w:jc w:val="left"/>
        <w:rPr>
          <w:color w:val="000000"/>
          <w:lang w:val="en" w:eastAsia="en"/>
        </w:rPr>
      </w:pPr>
      <w:r>
        <w:rPr>
          <w:color w:val="000000"/>
          <w:lang w:val="en" w:eastAsia="en"/>
        </w:rPr>
        <w:t>Notice and Agenda: Compliant with Companies Act</w:t>
      </w:r>
    </w:p>
    <w:p>
      <w:pPr>
        <w:numPr>
          <w:ilvl w:val="0"/>
          <w:numId w:val="5"/>
        </w:numPr>
        <w:spacing w:after="120" w:line="360" w:lineRule="atLeast"/>
        <w:ind w:left="1080" w:right="0" w:hanging="220"/>
        <w:jc w:val="left"/>
        <w:rPr>
          <w:color w:val="000000"/>
          <w:lang w:val="en" w:eastAsia="en"/>
        </w:rPr>
      </w:pPr>
      <w:r>
        <w:rPr>
          <w:color w:val="000000"/>
          <w:lang w:val="en" w:eastAsia="en"/>
        </w:rPr>
        <w:t>Maintenance of Minutes: Compliant with Companies Act</w:t>
      </w:r>
    </w:p>
    <w:p>
      <w:pPr>
        <w:pStyle w:val="Heading4"/>
        <w:keepNext w:val="0"/>
        <w:spacing w:before="319" w:after="319" w:line="360" w:lineRule="atLeast"/>
        <w:rPr>
          <w:b/>
          <w:bCs/>
          <w:color w:val="000000"/>
          <w:lang w:val="en" w:eastAsia="en"/>
        </w:rPr>
      </w:pPr>
      <w:r>
        <w:rPr>
          <w:color w:val="000000"/>
          <w:sz w:val="24"/>
          <w:szCs w:val="24"/>
          <w:lang w:val="en" w:eastAsia="en"/>
        </w:rPr>
        <w:t>2.6.3 Board Committees</w:t>
      </w:r>
    </w:p>
    <w:tbl>
      <w:tblPr>
        <w:tblStyle w:val="table"/>
        <w:tblW w:w="5000" w:type="pct"/>
        <w:tblInd w:w="136" w:type="dxa"/>
        <w:tblCellMar>
          <w:top w:w="15" w:type="dxa"/>
          <w:left w:w="15" w:type="dxa"/>
          <w:bottom w:w="15" w:type="dxa"/>
          <w:right w:w="15" w:type="dxa"/>
        </w:tblCellMar>
        <w:tblLook w:val="05E0"/>
      </w:tblPr>
      <w:tblGrid>
        <w:gridCol w:w="4207"/>
        <w:gridCol w:w="1500"/>
        <w:gridCol w:w="1500"/>
        <w:gridCol w:w="2062"/>
      </w:tblGrid>
      <w:tr>
        <w:tblPrEx>
          <w:tblW w:w="5000" w:type="pct"/>
          <w:tblInd w:w="136"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shd w:val="clear" w:color="auto" w:fill="F2F2F2"/>
            <w:noWrap w:val="0"/>
            <w:tcMar>
              <w:top w:w="120" w:type="dxa"/>
              <w:left w:w="128" w:type="dxa"/>
              <w:bottom w:w="120" w:type="dxa"/>
              <w:right w:w="128" w:type="dxa"/>
            </w:tcMar>
            <w:vAlign w:val="center"/>
            <w:hideMark/>
          </w:tcPr>
          <w:p>
            <w:pPr>
              <w:jc w:val="left"/>
              <w:rPr>
                <w:b/>
                <w:bCs/>
                <w:i w:val="0"/>
                <w:iCs w:val="0"/>
                <w:smallCaps w:val="0"/>
                <w:color w:val="000000"/>
                <w:lang w:val="en" w:eastAsia="en"/>
              </w:rPr>
            </w:pPr>
            <w:r>
              <w:rPr>
                <w:b/>
                <w:bCs/>
                <w:i w:val="0"/>
                <w:iCs w:val="0"/>
                <w:smallCaps w:val="0"/>
                <w:color w:val="000000"/>
                <w:lang w:val="en" w:eastAsia="en"/>
              </w:rPr>
              <w:t>Committee Name</w:t>
            </w:r>
          </w:p>
        </w:tc>
        <w:tc>
          <w:tcPr>
            <w:tcBorders>
              <w:top w:val="single" w:sz="6" w:space="0" w:color="000000"/>
              <w:left w:val="single" w:sz="6" w:space="0" w:color="000000"/>
              <w:bottom w:val="single" w:sz="6" w:space="0" w:color="000000"/>
              <w:right w:val="single" w:sz="6" w:space="0" w:color="000000"/>
            </w:tcBorders>
            <w:shd w:val="clear" w:color="auto" w:fill="F2F2F2"/>
            <w:noWrap w:val="0"/>
            <w:tcMar>
              <w:top w:w="120" w:type="dxa"/>
              <w:left w:w="128" w:type="dxa"/>
              <w:bottom w:w="120" w:type="dxa"/>
              <w:right w:w="128" w:type="dxa"/>
            </w:tcMar>
            <w:vAlign w:val="center"/>
            <w:hideMark/>
          </w:tcPr>
          <w:p>
            <w:pPr>
              <w:jc w:val="left"/>
              <w:rPr>
                <w:b/>
                <w:bCs/>
                <w:i w:val="0"/>
                <w:iCs w:val="0"/>
                <w:smallCaps w:val="0"/>
                <w:color w:val="000000"/>
                <w:lang w:val="en" w:eastAsia="en"/>
              </w:rPr>
            </w:pPr>
            <w:r>
              <w:rPr>
                <w:b/>
                <w:bCs/>
                <w:i w:val="0"/>
                <w:iCs w:val="0"/>
                <w:smallCaps w:val="0"/>
                <w:color w:val="000000"/>
                <w:lang w:val="en" w:eastAsia="en"/>
              </w:rPr>
              <w:t>Composition</w:t>
            </w:r>
          </w:p>
        </w:tc>
        <w:tc>
          <w:tcPr>
            <w:tcBorders>
              <w:top w:val="single" w:sz="6" w:space="0" w:color="000000"/>
              <w:left w:val="single" w:sz="6" w:space="0" w:color="000000"/>
              <w:bottom w:val="single" w:sz="6" w:space="0" w:color="000000"/>
              <w:right w:val="single" w:sz="6" w:space="0" w:color="000000"/>
            </w:tcBorders>
            <w:shd w:val="clear" w:color="auto" w:fill="F2F2F2"/>
            <w:noWrap w:val="0"/>
            <w:tcMar>
              <w:top w:w="120" w:type="dxa"/>
              <w:left w:w="128" w:type="dxa"/>
              <w:bottom w:w="120" w:type="dxa"/>
              <w:right w:w="128" w:type="dxa"/>
            </w:tcMar>
            <w:vAlign w:val="center"/>
            <w:hideMark/>
          </w:tcPr>
          <w:p>
            <w:pPr>
              <w:jc w:val="left"/>
              <w:rPr>
                <w:b/>
                <w:bCs/>
                <w:i w:val="0"/>
                <w:iCs w:val="0"/>
                <w:smallCaps w:val="0"/>
                <w:color w:val="000000"/>
                <w:lang w:val="en" w:eastAsia="en"/>
              </w:rPr>
            </w:pPr>
            <w:r>
              <w:rPr>
                <w:b/>
                <w:bCs/>
                <w:i w:val="0"/>
                <w:iCs w:val="0"/>
                <w:smallCaps w:val="0"/>
                <w:color w:val="000000"/>
                <w:lang w:val="en" w:eastAsia="en"/>
              </w:rPr>
              <w:t>Designation</w:t>
            </w:r>
          </w:p>
        </w:tc>
        <w:tc>
          <w:tcPr>
            <w:tcBorders>
              <w:top w:val="single" w:sz="6" w:space="0" w:color="000000"/>
              <w:left w:val="single" w:sz="6" w:space="0" w:color="000000"/>
              <w:bottom w:val="single" w:sz="6" w:space="0" w:color="000000"/>
              <w:right w:val="single" w:sz="6" w:space="0" w:color="000000"/>
            </w:tcBorders>
            <w:shd w:val="clear" w:color="auto" w:fill="F2F2F2"/>
            <w:noWrap w:val="0"/>
            <w:tcMar>
              <w:top w:w="120" w:type="dxa"/>
              <w:left w:w="128" w:type="dxa"/>
              <w:bottom w:w="120" w:type="dxa"/>
              <w:right w:w="128" w:type="dxa"/>
            </w:tcMar>
            <w:vAlign w:val="center"/>
            <w:hideMark/>
          </w:tcPr>
          <w:p>
            <w:pPr>
              <w:jc w:val="left"/>
              <w:rPr>
                <w:b/>
                <w:bCs/>
                <w:i w:val="0"/>
                <w:iCs w:val="0"/>
                <w:smallCaps w:val="0"/>
                <w:color w:val="000000"/>
                <w:lang w:val="en" w:eastAsia="en"/>
              </w:rPr>
            </w:pPr>
            <w:r>
              <w:rPr>
                <w:b/>
                <w:bCs/>
                <w:i w:val="0"/>
                <w:iCs w:val="0"/>
                <w:smallCaps w:val="0"/>
                <w:color w:val="000000"/>
                <w:lang w:val="en" w:eastAsia="en"/>
              </w:rPr>
              <w:t>Other Observations</w:t>
            </w:r>
          </w:p>
        </w:tc>
      </w:tr>
      <w:tr>
        <w:tblPrEx>
          <w:tblW w:w="5000" w:type="pct"/>
          <w:tblInd w:w="136"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Audit Committee</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Not specified</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Not specified</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Not specified</w:t>
            </w:r>
          </w:p>
        </w:tc>
      </w:tr>
      <w:tr>
        <w:tblPrEx>
          <w:tblW w:w="5000" w:type="pct"/>
          <w:tblInd w:w="136"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Nomination and Remuneration Committee</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Not specified</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Not specified</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Not specified</w:t>
            </w:r>
          </w:p>
        </w:tc>
      </w:tr>
      <w:tr>
        <w:tblPrEx>
          <w:tblW w:w="5000" w:type="pct"/>
          <w:tblInd w:w="136"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Corporate Social Responsibility Committee</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Not specified</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Not specified</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Not specified</w:t>
            </w:r>
          </w:p>
        </w:tc>
      </w:tr>
      <w:tr>
        <w:tblPrEx>
          <w:tblW w:w="5000" w:type="pct"/>
          <w:tblInd w:w="136"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Risk Management Committee</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Not specified</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Not specified</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Not specified</w:t>
            </w:r>
          </w:p>
        </w:tc>
      </w:tr>
      <w:tr>
        <w:tblPrEx>
          <w:tblW w:w="5000" w:type="pct"/>
          <w:tblInd w:w="136"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IT Strategy Committee</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Not specified</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Not specified</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Not specified</w:t>
            </w:r>
          </w:p>
        </w:tc>
      </w:tr>
      <w:tr>
        <w:tblPrEx>
          <w:tblW w:w="5000" w:type="pct"/>
          <w:tblInd w:w="136"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Executive Committee</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Not specified</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Not specified</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Not specified</w:t>
            </w:r>
          </w:p>
        </w:tc>
      </w:tr>
      <w:tr>
        <w:tblPrEx>
          <w:tblW w:w="5000" w:type="pct"/>
          <w:tblInd w:w="136"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Asset Liability Management Committee</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Not specified</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Not specified</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Not specified</w:t>
            </w:r>
          </w:p>
        </w:tc>
      </w:tr>
    </w:tbl>
    <w:p>
      <w:pPr>
        <w:pStyle w:val="Heading4"/>
        <w:keepNext w:val="0"/>
        <w:spacing w:before="319" w:after="319" w:line="360" w:lineRule="atLeast"/>
        <w:rPr>
          <w:b/>
          <w:bCs/>
          <w:color w:val="000000"/>
          <w:lang w:val="en" w:eastAsia="en"/>
        </w:rPr>
      </w:pPr>
      <w:r>
        <w:rPr>
          <w:color w:val="000000"/>
          <w:sz w:val="24"/>
          <w:szCs w:val="24"/>
          <w:lang w:val="en" w:eastAsia="en"/>
        </w:rPr>
        <w:t>2.6.4 Shareholder Meetings</w:t>
      </w:r>
    </w:p>
    <w:p>
      <w:pPr>
        <w:numPr>
          <w:ilvl w:val="0"/>
          <w:numId w:val="6"/>
        </w:numPr>
        <w:spacing w:before="120" w:line="360" w:lineRule="atLeast"/>
        <w:ind w:left="1080" w:right="0" w:hanging="220"/>
        <w:jc w:val="left"/>
        <w:rPr>
          <w:color w:val="000000"/>
          <w:lang w:val="en" w:eastAsia="en"/>
        </w:rPr>
      </w:pPr>
      <w:r>
        <w:rPr>
          <w:color w:val="000000"/>
          <w:lang w:val="en" w:eastAsia="en"/>
        </w:rPr>
        <w:t>Frequency: Last three Annual General Meetings held on 18th August 2021, 24th September 2020, and 15th June 2019</w:t>
      </w:r>
    </w:p>
    <w:p>
      <w:pPr>
        <w:numPr>
          <w:ilvl w:val="0"/>
          <w:numId w:val="6"/>
        </w:numPr>
        <w:spacing w:line="360" w:lineRule="atLeast"/>
        <w:ind w:left="1080" w:right="0" w:hanging="220"/>
        <w:jc w:val="left"/>
        <w:rPr>
          <w:color w:val="000000"/>
          <w:lang w:val="en" w:eastAsia="en"/>
        </w:rPr>
      </w:pPr>
      <w:r>
        <w:rPr>
          <w:color w:val="000000"/>
          <w:lang w:val="en" w:eastAsia="en"/>
        </w:rPr>
        <w:t>Notices for Shareholder Meetings: Compliant with Companies Act</w:t>
      </w:r>
    </w:p>
    <w:p>
      <w:pPr>
        <w:numPr>
          <w:ilvl w:val="0"/>
          <w:numId w:val="6"/>
        </w:numPr>
        <w:spacing w:after="120" w:line="360" w:lineRule="atLeast"/>
        <w:ind w:left="1080" w:right="0" w:hanging="220"/>
        <w:jc w:val="left"/>
        <w:rPr>
          <w:color w:val="000000"/>
          <w:lang w:val="en" w:eastAsia="en"/>
        </w:rPr>
      </w:pPr>
      <w:r>
        <w:rPr>
          <w:color w:val="000000"/>
          <w:lang w:val="en" w:eastAsia="en"/>
        </w:rPr>
        <w:t>Minutes of the Shareholder Meetings: Compliant with Companies Act</w:t>
      </w:r>
    </w:p>
    <w:p>
      <w:pPr>
        <w:pStyle w:val="Heading4"/>
        <w:keepNext w:val="0"/>
        <w:spacing w:before="319" w:after="319" w:line="360" w:lineRule="atLeast"/>
        <w:rPr>
          <w:b/>
          <w:bCs/>
          <w:color w:val="000000"/>
          <w:lang w:val="en" w:eastAsia="en"/>
        </w:rPr>
      </w:pPr>
      <w:r>
        <w:rPr>
          <w:color w:val="000000"/>
          <w:sz w:val="24"/>
          <w:szCs w:val="24"/>
          <w:lang w:val="en" w:eastAsia="en"/>
        </w:rPr>
        <w:t>2.6.5 Statutory Registers</w:t>
      </w:r>
    </w:p>
    <w:p>
      <w:pPr>
        <w:numPr>
          <w:ilvl w:val="0"/>
          <w:numId w:val="7"/>
        </w:numPr>
        <w:spacing w:before="120" w:after="120" w:line="360" w:lineRule="atLeast"/>
        <w:ind w:left="1080" w:right="0" w:hanging="220"/>
        <w:jc w:val="left"/>
        <w:rPr>
          <w:color w:val="000000"/>
          <w:lang w:val="en" w:eastAsia="en"/>
        </w:rPr>
      </w:pPr>
      <w:r>
        <w:rPr>
          <w:color w:val="000000"/>
          <w:lang w:val="en" w:eastAsia="en"/>
        </w:rPr>
        <w:t xml:space="preserve">Company has provided us with the copies of the following statutory registers: </w:t>
      </w:r>
      <w:r>
        <w:rPr>
          <w:rStyle w:val="require-more-docsCharacter"/>
          <w:lang w:val="en" w:eastAsia="en"/>
        </w:rPr>
        <w:t>Require more documents for this section</w:t>
      </w:r>
    </w:p>
    <w:p>
      <w:pPr>
        <w:pStyle w:val="Heading4"/>
        <w:keepNext w:val="0"/>
        <w:spacing w:before="319" w:after="319" w:line="360" w:lineRule="atLeast"/>
        <w:rPr>
          <w:b/>
          <w:bCs/>
          <w:color w:val="000000"/>
          <w:lang w:val="en" w:eastAsia="en"/>
        </w:rPr>
      </w:pPr>
      <w:r>
        <w:rPr>
          <w:color w:val="000000"/>
          <w:sz w:val="24"/>
          <w:szCs w:val="24"/>
          <w:lang w:val="en" w:eastAsia="en"/>
        </w:rPr>
        <w:t>2.6.6 Corporate Social Responsibility</w:t>
      </w:r>
    </w:p>
    <w:p>
      <w:pPr>
        <w:pStyle w:val="Heading5"/>
        <w:spacing w:before="333" w:after="333" w:line="299" w:lineRule="atLeast"/>
        <w:rPr>
          <w:b/>
          <w:bCs/>
          <w:color w:val="000000"/>
          <w:sz w:val="20"/>
          <w:szCs w:val="20"/>
          <w:lang w:val="en" w:eastAsia="en"/>
        </w:rPr>
      </w:pPr>
      <w:r>
        <w:rPr>
          <w:i w:val="0"/>
          <w:iCs w:val="0"/>
          <w:color w:val="000000"/>
          <w:sz w:val="20"/>
          <w:szCs w:val="20"/>
          <w:lang w:val="en" w:eastAsia="en"/>
        </w:rPr>
        <w:t>2.6.6.1 CSR Obligations</w:t>
      </w:r>
    </w:p>
    <w:tbl>
      <w:tblPr>
        <w:tblStyle w:val="table"/>
        <w:tblW w:w="5000" w:type="pct"/>
        <w:tblInd w:w="136" w:type="dxa"/>
        <w:tblCellMar>
          <w:top w:w="15" w:type="dxa"/>
          <w:left w:w="15" w:type="dxa"/>
          <w:bottom w:w="15" w:type="dxa"/>
          <w:right w:w="15" w:type="dxa"/>
        </w:tblCellMar>
        <w:tblLook w:val="05E0"/>
      </w:tblPr>
      <w:tblGrid>
        <w:gridCol w:w="4134"/>
        <w:gridCol w:w="5136"/>
      </w:tblGrid>
      <w:tr>
        <w:tblPrEx>
          <w:tblW w:w="5000" w:type="pct"/>
          <w:tblInd w:w="136"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shd w:val="clear" w:color="auto" w:fill="F2F2F2"/>
            <w:noWrap w:val="0"/>
            <w:tcMar>
              <w:top w:w="120" w:type="dxa"/>
              <w:left w:w="128" w:type="dxa"/>
              <w:bottom w:w="120" w:type="dxa"/>
              <w:right w:w="128" w:type="dxa"/>
            </w:tcMar>
            <w:vAlign w:val="center"/>
            <w:hideMark/>
          </w:tcPr>
          <w:p>
            <w:pPr>
              <w:jc w:val="left"/>
              <w:rPr>
                <w:b/>
                <w:bCs/>
                <w:i w:val="0"/>
                <w:iCs w:val="0"/>
                <w:smallCaps w:val="0"/>
                <w:color w:val="000000"/>
                <w:lang w:val="en" w:eastAsia="en"/>
              </w:rPr>
            </w:pPr>
            <w:r>
              <w:rPr>
                <w:b/>
                <w:bCs/>
                <w:i w:val="0"/>
                <w:iCs w:val="0"/>
                <w:smallCaps w:val="0"/>
                <w:color w:val="000000"/>
                <w:lang w:val="en" w:eastAsia="en"/>
              </w:rPr>
              <w:t>Financial Year</w:t>
            </w:r>
          </w:p>
        </w:tc>
        <w:tc>
          <w:tcPr>
            <w:tcBorders>
              <w:top w:val="single" w:sz="6" w:space="0" w:color="000000"/>
              <w:left w:val="single" w:sz="6" w:space="0" w:color="000000"/>
              <w:bottom w:val="single" w:sz="6" w:space="0" w:color="000000"/>
              <w:right w:val="single" w:sz="6" w:space="0" w:color="000000"/>
            </w:tcBorders>
            <w:shd w:val="clear" w:color="auto" w:fill="F2F2F2"/>
            <w:noWrap w:val="0"/>
            <w:tcMar>
              <w:top w:w="120" w:type="dxa"/>
              <w:left w:w="128" w:type="dxa"/>
              <w:bottom w:w="120" w:type="dxa"/>
              <w:right w:w="128" w:type="dxa"/>
            </w:tcMar>
            <w:vAlign w:val="center"/>
            <w:hideMark/>
          </w:tcPr>
          <w:p>
            <w:pPr>
              <w:jc w:val="left"/>
              <w:rPr>
                <w:b/>
                <w:bCs/>
                <w:i w:val="0"/>
                <w:iCs w:val="0"/>
                <w:smallCaps w:val="0"/>
                <w:color w:val="000000"/>
                <w:lang w:val="en" w:eastAsia="en"/>
              </w:rPr>
            </w:pPr>
            <w:r>
              <w:rPr>
                <w:b/>
                <w:bCs/>
                <w:i w:val="0"/>
                <w:iCs w:val="0"/>
                <w:smallCaps w:val="0"/>
                <w:color w:val="000000"/>
                <w:lang w:val="en" w:eastAsia="en"/>
              </w:rPr>
              <w:t>Expenditure in Rs.</w:t>
            </w:r>
          </w:p>
        </w:tc>
      </w:tr>
      <w:tr>
        <w:tblPrEx>
          <w:tblW w:w="5000" w:type="pct"/>
          <w:tblInd w:w="136"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2021-22</w:t>
            </w:r>
          </w:p>
        </w:tc>
        <w:tc>
          <w:tcPr>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000000"/>
                <w:lang w:val="en" w:eastAsia="en"/>
              </w:rPr>
            </w:pPr>
            <w:r>
              <w:rPr>
                <w:b w:val="0"/>
                <w:bCs w:val="0"/>
                <w:i w:val="0"/>
                <w:iCs w:val="0"/>
                <w:smallCaps w:val="0"/>
                <w:color w:val="000000"/>
                <w:lang w:val="en" w:eastAsia="en"/>
              </w:rPr>
              <w:t>₹1,89,14,961</w:t>
            </w:r>
          </w:p>
        </w:tc>
      </w:tr>
    </w:tbl>
    <w:p>
      <w:pPr>
        <w:pStyle w:val="Heading5"/>
        <w:spacing w:before="333" w:after="333" w:line="299" w:lineRule="atLeast"/>
        <w:rPr>
          <w:b/>
          <w:bCs/>
          <w:color w:val="000000"/>
          <w:sz w:val="20"/>
          <w:szCs w:val="20"/>
          <w:lang w:val="en" w:eastAsia="en"/>
        </w:rPr>
      </w:pPr>
      <w:r>
        <w:rPr>
          <w:i w:val="0"/>
          <w:iCs w:val="0"/>
          <w:color w:val="000000"/>
          <w:sz w:val="20"/>
          <w:szCs w:val="20"/>
          <w:lang w:val="en" w:eastAsia="en"/>
        </w:rPr>
        <w:t>2.6.6.2 CSR Expenditure Compliance</w:t>
      </w:r>
    </w:p>
    <w:p>
      <w:pPr>
        <w:numPr>
          <w:ilvl w:val="0"/>
          <w:numId w:val="8"/>
        </w:numPr>
        <w:spacing w:before="120" w:line="360" w:lineRule="atLeast"/>
        <w:ind w:left="1080" w:right="0" w:hanging="220"/>
        <w:jc w:val="left"/>
        <w:rPr>
          <w:color w:val="000000"/>
          <w:lang w:val="en" w:eastAsia="en"/>
        </w:rPr>
      </w:pPr>
      <w:r>
        <w:rPr>
          <w:color w:val="000000"/>
          <w:lang w:val="en" w:eastAsia="en"/>
        </w:rPr>
        <w:t>Amount spent: ₹17,10,687</w:t>
      </w:r>
    </w:p>
    <w:p>
      <w:pPr>
        <w:numPr>
          <w:ilvl w:val="0"/>
          <w:numId w:val="8"/>
        </w:numPr>
        <w:spacing w:after="120" w:line="360" w:lineRule="atLeast"/>
        <w:ind w:left="1080" w:right="0" w:hanging="220"/>
        <w:jc w:val="left"/>
        <w:rPr>
          <w:color w:val="000000"/>
          <w:lang w:val="en" w:eastAsia="en"/>
        </w:rPr>
      </w:pPr>
      <w:r>
        <w:rPr>
          <w:color w:val="000000"/>
          <w:lang w:val="en" w:eastAsia="en"/>
        </w:rPr>
        <w:t>Amount transferred to Unspent CSR Account: ₹1,72,10,000</w:t>
      </w:r>
    </w:p>
    <w:p>
      <w:pPr>
        <w:pStyle w:val="Heading5"/>
        <w:spacing w:before="333" w:after="333" w:line="299" w:lineRule="atLeast"/>
        <w:rPr>
          <w:b/>
          <w:bCs/>
          <w:color w:val="000000"/>
          <w:sz w:val="20"/>
          <w:szCs w:val="20"/>
          <w:lang w:val="en" w:eastAsia="en"/>
        </w:rPr>
      </w:pPr>
      <w:r>
        <w:rPr>
          <w:i w:val="0"/>
          <w:iCs w:val="0"/>
          <w:color w:val="000000"/>
          <w:sz w:val="20"/>
          <w:szCs w:val="20"/>
          <w:lang w:val="en" w:eastAsia="en"/>
        </w:rPr>
        <w:t>2.6.6.3 CSR Committee Meeting Minutes</w:t>
      </w:r>
    </w:p>
    <w:p>
      <w:pPr>
        <w:pStyle w:val="require-more-docs"/>
        <w:spacing w:before="120" w:after="120" w:line="360" w:lineRule="atLeast"/>
        <w:ind w:left="0" w:right="0"/>
        <w:rPr>
          <w:color w:val="FF0000"/>
          <w:lang w:val="en" w:eastAsia="en"/>
        </w:rPr>
      </w:pPr>
      <w:r>
        <w:rPr>
          <w:lang w:val="en" w:eastAsia="en"/>
        </w:rPr>
        <w:t>Require more documents for this section</w:t>
      </w:r>
    </w:p>
    <w:p>
      <w:pPr>
        <w:pStyle w:val="Heading5"/>
        <w:spacing w:before="333" w:after="333" w:line="299" w:lineRule="atLeast"/>
        <w:rPr>
          <w:b/>
          <w:bCs/>
          <w:color w:val="000000"/>
          <w:sz w:val="20"/>
          <w:szCs w:val="20"/>
          <w:lang w:val="en" w:eastAsia="en"/>
        </w:rPr>
      </w:pPr>
      <w:r>
        <w:rPr>
          <w:i w:val="0"/>
          <w:iCs w:val="0"/>
          <w:color w:val="000000"/>
          <w:sz w:val="20"/>
          <w:szCs w:val="20"/>
          <w:lang w:val="en" w:eastAsia="en"/>
        </w:rPr>
        <w:t>2.6.6.4 Any Other Information</w:t>
      </w:r>
    </w:p>
    <w:p>
      <w:pPr>
        <w:numPr>
          <w:ilvl w:val="0"/>
          <w:numId w:val="9"/>
        </w:numPr>
        <w:spacing w:before="120" w:line="360" w:lineRule="atLeast"/>
        <w:ind w:left="1080" w:right="0" w:hanging="220"/>
        <w:jc w:val="left"/>
        <w:rPr>
          <w:color w:val="000000"/>
          <w:lang w:val="en" w:eastAsia="en"/>
        </w:rPr>
      </w:pPr>
      <w:r>
        <w:rPr>
          <w:color w:val="000000"/>
          <w:lang w:val="en" w:eastAsia="en"/>
        </w:rPr>
        <w:t>CSR initiatives in areas such as Education &amp; Livelihood, Healthcare, Animal Welfare, Environment, and Road Safety.</w:t>
      </w:r>
    </w:p>
    <w:p>
      <w:pPr>
        <w:numPr>
          <w:ilvl w:val="0"/>
          <w:numId w:val="9"/>
        </w:numPr>
        <w:spacing w:after="120" w:line="360" w:lineRule="atLeast"/>
        <w:ind w:left="1080" w:right="0" w:hanging="220"/>
        <w:jc w:val="left"/>
        <w:rPr>
          <w:color w:val="000000"/>
          <w:lang w:val="en" w:eastAsia="en"/>
        </w:rPr>
      </w:pPr>
      <w:r>
        <w:rPr>
          <w:color w:val="000000"/>
          <w:lang w:val="en" w:eastAsia="en"/>
        </w:rPr>
        <w:t>Community initiatives through ESS KAY Foundation, including education support, healthcare donations, and skill academies.</w:t>
      </w:r>
    </w:p>
    <w:p>
      <w:pPr>
        <w:pStyle w:val="Heading4"/>
        <w:keepNext w:val="0"/>
        <w:spacing w:before="319" w:after="319" w:line="360" w:lineRule="atLeast"/>
        <w:rPr>
          <w:b/>
          <w:bCs/>
          <w:color w:val="000000"/>
          <w:lang w:val="en" w:eastAsia="en"/>
        </w:rPr>
      </w:pPr>
      <w:r>
        <w:rPr>
          <w:color w:val="000000"/>
          <w:sz w:val="24"/>
          <w:szCs w:val="24"/>
          <w:lang w:val="en" w:eastAsia="en"/>
        </w:rPr>
        <w:t>2.6.7 Ongoing Related Party Transactions</w:t>
      </w:r>
    </w:p>
    <w:tbl>
      <w:tblPr>
        <w:tblStyle w:val="table"/>
        <w:tblW w:w="5000" w:type="pct"/>
        <w:tblInd w:w="136" w:type="dxa"/>
        <w:tblCellMar>
          <w:top w:w="15" w:type="dxa"/>
          <w:left w:w="15" w:type="dxa"/>
          <w:bottom w:w="15" w:type="dxa"/>
          <w:right w:w="15" w:type="dxa"/>
        </w:tblCellMar>
        <w:tblLook w:val="05E0"/>
      </w:tblPr>
      <w:tblGrid>
        <w:gridCol w:w="1937"/>
        <w:gridCol w:w="1743"/>
        <w:gridCol w:w="1448"/>
        <w:gridCol w:w="1394"/>
        <w:gridCol w:w="2747"/>
      </w:tblGrid>
      <w:tr>
        <w:tblPrEx>
          <w:tblW w:w="5000" w:type="pct"/>
          <w:tblInd w:w="136" w:type="dxa"/>
          <w:tblCellMar>
            <w:top w:w="15" w:type="dxa"/>
            <w:left w:w="15" w:type="dxa"/>
            <w:bottom w:w="15" w:type="dxa"/>
            <w:right w:w="15" w:type="dxa"/>
          </w:tblCellMar>
          <w:tblLook w:val="05E0"/>
        </w:tblPrEx>
        <w:tc>
          <w:tcPr>
            <w:tcBorders>
              <w:top w:val="single" w:sz="6" w:space="0" w:color="000000"/>
              <w:left w:val="single" w:sz="6" w:space="0" w:color="000000"/>
              <w:bottom w:val="single" w:sz="6" w:space="0" w:color="000000"/>
              <w:right w:val="single" w:sz="6" w:space="0" w:color="000000"/>
            </w:tcBorders>
            <w:shd w:val="clear" w:color="auto" w:fill="F2F2F2"/>
            <w:noWrap w:val="0"/>
            <w:tcMar>
              <w:top w:w="120" w:type="dxa"/>
              <w:left w:w="128" w:type="dxa"/>
              <w:bottom w:w="120" w:type="dxa"/>
              <w:right w:w="128" w:type="dxa"/>
            </w:tcMar>
            <w:vAlign w:val="center"/>
            <w:hideMark/>
          </w:tcPr>
          <w:p>
            <w:pPr>
              <w:jc w:val="left"/>
              <w:rPr>
                <w:b/>
                <w:bCs/>
                <w:i w:val="0"/>
                <w:iCs w:val="0"/>
                <w:smallCaps w:val="0"/>
                <w:color w:val="000000"/>
                <w:lang w:val="en" w:eastAsia="en"/>
              </w:rPr>
            </w:pPr>
            <w:r>
              <w:rPr>
                <w:b/>
                <w:bCs/>
                <w:i w:val="0"/>
                <w:iCs w:val="0"/>
                <w:smallCaps w:val="0"/>
                <w:color w:val="000000"/>
                <w:lang w:val="en" w:eastAsia="en"/>
              </w:rPr>
              <w:t>Details of the Contracting Party</w:t>
            </w:r>
          </w:p>
        </w:tc>
        <w:tc>
          <w:tcPr>
            <w:tcBorders>
              <w:top w:val="single" w:sz="6" w:space="0" w:color="000000"/>
              <w:left w:val="single" w:sz="6" w:space="0" w:color="000000"/>
              <w:bottom w:val="single" w:sz="6" w:space="0" w:color="000000"/>
              <w:right w:val="single" w:sz="6" w:space="0" w:color="000000"/>
            </w:tcBorders>
            <w:shd w:val="clear" w:color="auto" w:fill="F2F2F2"/>
            <w:noWrap w:val="0"/>
            <w:tcMar>
              <w:top w:w="120" w:type="dxa"/>
              <w:left w:w="128" w:type="dxa"/>
              <w:bottom w:w="120" w:type="dxa"/>
              <w:right w:w="128" w:type="dxa"/>
            </w:tcMar>
            <w:vAlign w:val="center"/>
            <w:hideMark/>
          </w:tcPr>
          <w:p>
            <w:pPr>
              <w:jc w:val="left"/>
              <w:rPr>
                <w:b/>
                <w:bCs/>
                <w:i w:val="0"/>
                <w:iCs w:val="0"/>
                <w:smallCaps w:val="0"/>
                <w:color w:val="000000"/>
                <w:lang w:val="en" w:eastAsia="en"/>
              </w:rPr>
            </w:pPr>
            <w:r>
              <w:rPr>
                <w:b/>
                <w:bCs/>
                <w:i w:val="0"/>
                <w:iCs w:val="0"/>
                <w:smallCaps w:val="0"/>
                <w:color w:val="000000"/>
                <w:lang w:val="en" w:eastAsia="en"/>
              </w:rPr>
              <w:t>Name of Interested Director</w:t>
            </w:r>
          </w:p>
        </w:tc>
        <w:tc>
          <w:tcPr>
            <w:tcBorders>
              <w:top w:val="single" w:sz="6" w:space="0" w:color="000000"/>
              <w:left w:val="single" w:sz="6" w:space="0" w:color="000000"/>
              <w:bottom w:val="single" w:sz="6" w:space="0" w:color="000000"/>
              <w:right w:val="single" w:sz="6" w:space="0" w:color="000000"/>
            </w:tcBorders>
            <w:shd w:val="clear" w:color="auto" w:fill="F2F2F2"/>
            <w:noWrap w:val="0"/>
            <w:tcMar>
              <w:top w:w="120" w:type="dxa"/>
              <w:left w:w="128" w:type="dxa"/>
              <w:bottom w:w="120" w:type="dxa"/>
              <w:right w:w="128" w:type="dxa"/>
            </w:tcMar>
            <w:vAlign w:val="center"/>
            <w:hideMark/>
          </w:tcPr>
          <w:p>
            <w:pPr>
              <w:jc w:val="left"/>
              <w:rPr>
                <w:b/>
                <w:bCs/>
                <w:i w:val="0"/>
                <w:iCs w:val="0"/>
                <w:smallCaps w:val="0"/>
                <w:color w:val="000000"/>
                <w:lang w:val="en" w:eastAsia="en"/>
              </w:rPr>
            </w:pPr>
            <w:r>
              <w:rPr>
                <w:b/>
                <w:bCs/>
                <w:i w:val="0"/>
                <w:iCs w:val="0"/>
                <w:smallCaps w:val="0"/>
                <w:color w:val="000000"/>
                <w:lang w:val="en" w:eastAsia="en"/>
              </w:rPr>
              <w:t>Name of Relationship</w:t>
            </w:r>
          </w:p>
        </w:tc>
        <w:tc>
          <w:tcPr>
            <w:tcBorders>
              <w:top w:val="single" w:sz="6" w:space="0" w:color="000000"/>
              <w:left w:val="single" w:sz="6" w:space="0" w:color="000000"/>
              <w:bottom w:val="single" w:sz="6" w:space="0" w:color="000000"/>
              <w:right w:val="single" w:sz="6" w:space="0" w:color="000000"/>
            </w:tcBorders>
            <w:shd w:val="clear" w:color="auto" w:fill="F2F2F2"/>
            <w:noWrap w:val="0"/>
            <w:tcMar>
              <w:top w:w="120" w:type="dxa"/>
              <w:left w:w="128" w:type="dxa"/>
              <w:bottom w:w="120" w:type="dxa"/>
              <w:right w:w="128" w:type="dxa"/>
            </w:tcMar>
            <w:vAlign w:val="center"/>
            <w:hideMark/>
          </w:tcPr>
          <w:p>
            <w:pPr>
              <w:jc w:val="left"/>
              <w:rPr>
                <w:b/>
                <w:bCs/>
                <w:i w:val="0"/>
                <w:iCs w:val="0"/>
                <w:smallCaps w:val="0"/>
                <w:color w:val="000000"/>
                <w:lang w:val="en" w:eastAsia="en"/>
              </w:rPr>
            </w:pPr>
            <w:r>
              <w:rPr>
                <w:b/>
                <w:bCs/>
                <w:i w:val="0"/>
                <w:iCs w:val="0"/>
                <w:smallCaps w:val="0"/>
                <w:color w:val="000000"/>
                <w:lang w:val="en" w:eastAsia="en"/>
              </w:rPr>
              <w:t>Nature of Transaction</w:t>
            </w:r>
          </w:p>
        </w:tc>
        <w:tc>
          <w:tcPr>
            <w:tcBorders>
              <w:top w:val="single" w:sz="6" w:space="0" w:color="000000"/>
              <w:left w:val="single" w:sz="6" w:space="0" w:color="000000"/>
              <w:bottom w:val="single" w:sz="6" w:space="0" w:color="000000"/>
              <w:right w:val="single" w:sz="6" w:space="0" w:color="000000"/>
            </w:tcBorders>
            <w:shd w:val="clear" w:color="auto" w:fill="F2F2F2"/>
            <w:noWrap w:val="0"/>
            <w:tcMar>
              <w:top w:w="120" w:type="dxa"/>
              <w:left w:w="128" w:type="dxa"/>
              <w:bottom w:w="120" w:type="dxa"/>
              <w:right w:w="128" w:type="dxa"/>
            </w:tcMar>
            <w:vAlign w:val="center"/>
            <w:hideMark/>
          </w:tcPr>
          <w:p>
            <w:pPr>
              <w:jc w:val="left"/>
              <w:rPr>
                <w:b/>
                <w:bCs/>
                <w:i w:val="0"/>
                <w:iCs w:val="0"/>
                <w:smallCaps w:val="0"/>
                <w:color w:val="000000"/>
                <w:lang w:val="en" w:eastAsia="en"/>
              </w:rPr>
            </w:pPr>
            <w:r>
              <w:rPr>
                <w:b/>
                <w:bCs/>
                <w:i w:val="0"/>
                <w:iCs w:val="0"/>
                <w:smallCaps w:val="0"/>
                <w:color w:val="000000"/>
                <w:lang w:val="en" w:eastAsia="en"/>
              </w:rPr>
              <w:t>Value of Transaction as per Last Financial Year</w:t>
            </w:r>
          </w:p>
        </w:tc>
      </w:tr>
      <w:tr>
        <w:tblPrEx>
          <w:tblW w:w="5000" w:type="pct"/>
          <w:tblInd w:w="136" w:type="dxa"/>
          <w:tblCellMar>
            <w:top w:w="15" w:type="dxa"/>
            <w:left w:w="15" w:type="dxa"/>
            <w:bottom w:w="15" w:type="dxa"/>
            <w:right w:w="15" w:type="dxa"/>
          </w:tblCellMar>
          <w:tblLook w:val="05E0"/>
        </w:tblPrEx>
        <w:tc>
          <w:tcPr>
            <w:gridSpan w:val="5"/>
            <w:tcBorders>
              <w:top w:val="single" w:sz="6" w:space="0" w:color="000000"/>
              <w:left w:val="single" w:sz="6" w:space="0" w:color="000000"/>
              <w:bottom w:val="single" w:sz="6" w:space="0" w:color="000000"/>
              <w:right w:val="single" w:sz="6" w:space="0" w:color="000000"/>
            </w:tcBorders>
            <w:noWrap w:val="0"/>
            <w:tcMar>
              <w:top w:w="120" w:type="dxa"/>
              <w:left w:w="128" w:type="dxa"/>
              <w:bottom w:w="120" w:type="dxa"/>
              <w:right w:w="128" w:type="dxa"/>
            </w:tcMar>
            <w:vAlign w:val="center"/>
            <w:hideMark/>
          </w:tcPr>
          <w:p>
            <w:pPr>
              <w:jc w:val="left"/>
              <w:rPr>
                <w:b w:val="0"/>
                <w:bCs w:val="0"/>
                <w:i w:val="0"/>
                <w:iCs w:val="0"/>
                <w:smallCaps w:val="0"/>
                <w:color w:val="FF0000"/>
                <w:lang w:val="en" w:eastAsia="en"/>
              </w:rPr>
            </w:pPr>
            <w:r>
              <w:rPr>
                <w:b w:val="0"/>
                <w:bCs w:val="0"/>
                <w:i w:val="0"/>
                <w:iCs w:val="0"/>
                <w:smallCaps w:val="0"/>
                <w:color w:val="FF0000"/>
                <w:lang w:val="en" w:eastAsia="en"/>
              </w:rPr>
              <w:t>Require more documents for this section</w:t>
            </w:r>
          </w:p>
        </w:tc>
      </w:tr>
    </w:tbl>
    <w:p>
      <w:pPr>
        <w:pStyle w:val="Heading4"/>
        <w:keepNext w:val="0"/>
        <w:spacing w:before="319" w:after="319" w:line="360" w:lineRule="atLeast"/>
        <w:rPr>
          <w:b/>
          <w:bCs/>
          <w:color w:val="000000"/>
          <w:lang w:val="en" w:eastAsia="en"/>
        </w:rPr>
      </w:pPr>
      <w:r>
        <w:rPr>
          <w:color w:val="000000"/>
          <w:sz w:val="24"/>
          <w:szCs w:val="24"/>
          <w:lang w:val="en" w:eastAsia="en"/>
        </w:rPr>
        <w:t>2.6.8 ROC Filings and Compliance Matters</w:t>
      </w:r>
    </w:p>
    <w:p>
      <w:pPr>
        <w:pStyle w:val="Heading5"/>
        <w:spacing w:before="333" w:after="333" w:line="299" w:lineRule="atLeast"/>
        <w:rPr>
          <w:b/>
          <w:bCs/>
          <w:color w:val="000000"/>
          <w:sz w:val="20"/>
          <w:szCs w:val="20"/>
          <w:lang w:val="en" w:eastAsia="en"/>
        </w:rPr>
      </w:pPr>
      <w:r>
        <w:rPr>
          <w:i w:val="0"/>
          <w:iCs w:val="0"/>
          <w:color w:val="000000"/>
          <w:sz w:val="20"/>
          <w:szCs w:val="20"/>
          <w:lang w:val="en" w:eastAsia="en"/>
        </w:rPr>
        <w:t>2.6.8.1 ROC Filings</w:t>
      </w:r>
    </w:p>
    <w:p>
      <w:pPr>
        <w:pStyle w:val="require-more-docs"/>
        <w:spacing w:before="120" w:after="120" w:line="360" w:lineRule="atLeast"/>
        <w:ind w:left="0" w:right="0"/>
        <w:rPr>
          <w:color w:val="FF0000"/>
          <w:lang w:val="en" w:eastAsia="en"/>
        </w:rPr>
      </w:pPr>
      <w:r>
        <w:rPr>
          <w:lang w:val="en" w:eastAsia="en"/>
        </w:rPr>
        <w:t>Require more documents for this section</w:t>
      </w:r>
    </w:p>
    <w:p>
      <w:pPr>
        <w:pStyle w:val="Heading5"/>
        <w:spacing w:before="333" w:after="333" w:line="299" w:lineRule="atLeast"/>
        <w:rPr>
          <w:b/>
          <w:bCs/>
          <w:color w:val="000000"/>
          <w:sz w:val="20"/>
          <w:szCs w:val="20"/>
          <w:lang w:val="en" w:eastAsia="en"/>
        </w:rPr>
      </w:pPr>
      <w:r>
        <w:rPr>
          <w:i w:val="0"/>
          <w:iCs w:val="0"/>
          <w:color w:val="000000"/>
          <w:sz w:val="20"/>
          <w:szCs w:val="20"/>
          <w:lang w:val="en" w:eastAsia="en"/>
        </w:rPr>
        <w:t>2.6.8.2 Review of ROC Filings</w:t>
      </w:r>
    </w:p>
    <w:p>
      <w:pPr>
        <w:pStyle w:val="require-more-docs"/>
        <w:spacing w:before="120" w:after="120" w:line="360" w:lineRule="atLeast"/>
        <w:ind w:left="0" w:right="0"/>
        <w:rPr>
          <w:color w:val="FF0000"/>
          <w:lang w:val="en" w:eastAsia="en"/>
        </w:rPr>
      </w:pPr>
      <w:r>
        <w:rPr>
          <w:lang w:val="en" w:eastAsia="en"/>
        </w:rPr>
        <w:t>Require more documents for this section</w:t>
      </w:r>
    </w:p>
    <w:p>
      <w:pPr>
        <w:pStyle w:val="Heading2"/>
        <w:keepNext w:val="0"/>
        <w:spacing w:before="180" w:after="180" w:line="540" w:lineRule="atLeast"/>
        <w:ind w:left="0" w:right="0"/>
        <w:rPr>
          <w:b/>
          <w:bCs/>
          <w:color w:val="000000"/>
          <w:sz w:val="36"/>
          <w:szCs w:val="36"/>
          <w:lang w:val="en" w:eastAsia="en"/>
        </w:rPr>
      </w:pPr>
      <w:r>
        <w:rPr>
          <w:rFonts w:ascii="Times New Roman" w:hAnsi="Times New Roman" w:cs="Times New Roman"/>
          <w:i w:val="0"/>
          <w:iCs w:val="0"/>
          <w:color w:val="000000"/>
          <w:sz w:val="36"/>
          <w:szCs w:val="36"/>
          <w:lang w:val="en" w:eastAsia="en"/>
        </w:rPr>
        <w:t>Requisition List</w:t>
      </w:r>
    </w:p>
    <w:p>
      <w:pPr>
        <w:numPr>
          <w:ilvl w:val="0"/>
          <w:numId w:val="10"/>
        </w:numPr>
        <w:spacing w:before="120" w:line="360" w:lineRule="atLeast"/>
        <w:ind w:left="1080" w:right="0" w:hanging="220"/>
        <w:jc w:val="left"/>
        <w:rPr>
          <w:color w:val="000000"/>
          <w:lang w:val="en" w:eastAsia="en"/>
        </w:rPr>
      </w:pPr>
      <w:r>
        <w:rPr>
          <w:color w:val="000000"/>
          <w:lang w:val="en" w:eastAsia="en"/>
        </w:rPr>
        <w:t>Dividend declaration details</w:t>
      </w:r>
    </w:p>
    <w:p>
      <w:pPr>
        <w:numPr>
          <w:ilvl w:val="0"/>
          <w:numId w:val="10"/>
        </w:numPr>
        <w:spacing w:line="360" w:lineRule="atLeast"/>
        <w:ind w:left="1080" w:right="0" w:hanging="220"/>
        <w:jc w:val="left"/>
        <w:rPr>
          <w:color w:val="000000"/>
          <w:lang w:val="en" w:eastAsia="en"/>
        </w:rPr>
      </w:pPr>
      <w:r>
        <w:rPr>
          <w:color w:val="000000"/>
          <w:lang w:val="en" w:eastAsia="en"/>
        </w:rPr>
        <w:t>Details about subsidiaries and associate companies</w:t>
      </w:r>
    </w:p>
    <w:p>
      <w:pPr>
        <w:numPr>
          <w:ilvl w:val="0"/>
          <w:numId w:val="10"/>
        </w:numPr>
        <w:spacing w:line="360" w:lineRule="atLeast"/>
        <w:ind w:left="1080" w:right="0" w:hanging="220"/>
        <w:jc w:val="left"/>
        <w:rPr>
          <w:color w:val="000000"/>
          <w:lang w:val="en" w:eastAsia="en"/>
        </w:rPr>
      </w:pPr>
      <w:r>
        <w:rPr>
          <w:color w:val="000000"/>
          <w:lang w:val="en" w:eastAsia="en"/>
        </w:rPr>
        <w:t>MOA and AOA summaries</w:t>
      </w:r>
    </w:p>
    <w:p>
      <w:pPr>
        <w:numPr>
          <w:ilvl w:val="0"/>
          <w:numId w:val="10"/>
        </w:numPr>
        <w:spacing w:line="360" w:lineRule="atLeast"/>
        <w:ind w:left="1080" w:right="0" w:hanging="220"/>
        <w:jc w:val="left"/>
        <w:rPr>
          <w:color w:val="000000"/>
          <w:lang w:val="en" w:eastAsia="en"/>
        </w:rPr>
      </w:pPr>
      <w:r>
        <w:rPr>
          <w:color w:val="000000"/>
          <w:lang w:val="en" w:eastAsia="en"/>
        </w:rPr>
        <w:t>Board committees' composition and details</w:t>
      </w:r>
    </w:p>
    <w:p>
      <w:pPr>
        <w:numPr>
          <w:ilvl w:val="0"/>
          <w:numId w:val="10"/>
        </w:numPr>
        <w:spacing w:line="360" w:lineRule="atLeast"/>
        <w:ind w:left="1080" w:right="0" w:hanging="220"/>
        <w:jc w:val="left"/>
        <w:rPr>
          <w:color w:val="000000"/>
          <w:lang w:val="en" w:eastAsia="en"/>
        </w:rPr>
      </w:pPr>
      <w:r>
        <w:rPr>
          <w:color w:val="000000"/>
          <w:lang w:val="en" w:eastAsia="en"/>
        </w:rPr>
        <w:t>Statutory registers list</w:t>
      </w:r>
    </w:p>
    <w:p>
      <w:pPr>
        <w:numPr>
          <w:ilvl w:val="0"/>
          <w:numId w:val="10"/>
        </w:numPr>
        <w:spacing w:line="360" w:lineRule="atLeast"/>
        <w:ind w:left="1080" w:right="0" w:hanging="220"/>
        <w:jc w:val="left"/>
        <w:rPr>
          <w:color w:val="000000"/>
          <w:lang w:val="en" w:eastAsia="en"/>
        </w:rPr>
      </w:pPr>
      <w:r>
        <w:rPr>
          <w:color w:val="000000"/>
          <w:lang w:val="en" w:eastAsia="en"/>
        </w:rPr>
        <w:t>CSR committee meeting minutes</w:t>
      </w:r>
    </w:p>
    <w:p>
      <w:pPr>
        <w:numPr>
          <w:ilvl w:val="0"/>
          <w:numId w:val="10"/>
        </w:numPr>
        <w:spacing w:line="360" w:lineRule="atLeast"/>
        <w:ind w:left="1080" w:right="0" w:hanging="220"/>
        <w:jc w:val="left"/>
        <w:rPr>
          <w:color w:val="000000"/>
          <w:lang w:val="en" w:eastAsia="en"/>
        </w:rPr>
      </w:pPr>
      <w:r>
        <w:rPr>
          <w:color w:val="000000"/>
          <w:lang w:val="en" w:eastAsia="en"/>
        </w:rPr>
        <w:t>Ongoing related party transactions details</w:t>
      </w:r>
    </w:p>
    <w:p>
      <w:pPr>
        <w:numPr>
          <w:ilvl w:val="0"/>
          <w:numId w:val="10"/>
        </w:numPr>
        <w:spacing w:after="120" w:line="360" w:lineRule="atLeast"/>
        <w:ind w:left="1080" w:right="0" w:hanging="220"/>
        <w:jc w:val="left"/>
        <w:rPr>
          <w:color w:val="000000"/>
          <w:lang w:val="en" w:eastAsia="en"/>
        </w:rPr>
      </w:pPr>
      <w:r>
        <w:rPr>
          <w:color w:val="000000"/>
          <w:lang w:val="en" w:eastAsia="en"/>
        </w:rPr>
        <w:t>ROC filings and compliance matters review</w:t>
      </w:r>
    </w:p>
    <w:p>
      <w:pPr>
        <w:spacing w:line="360" w:lineRule="atLeast"/>
        <w:rPr>
          <w:color w:val="000000"/>
          <w:lang w:val="en" w:eastAsia="en"/>
        </w:rPr>
      </w:pPr>
      <w:r>
        <w:rPr>
          <w:color w:val="000000"/>
          <w:lang w:val="en" w:eastAsia="en"/>
        </w:rPr>
        <w:t>``` This HTML report follows the provided format, organizes the available data, and highlights sections where additional documents are required in red. This structure ensures a clean and professional presentation of the due diligence findings while maintaining legal accuracy.</w:t>
      </w:r>
    </w:p>
    <w:sectPr>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paragraph" w:styleId="Heading4">
    <w:name w:val="heading 4"/>
    <w:basedOn w:val="Normal"/>
    <w:next w:val="Normal"/>
    <w:qFormat/>
    <w:rsid w:val="00EF7B96"/>
    <w:pPr>
      <w:keepNext/>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
    <w:name w:val="p"/>
    <w:basedOn w:val="Normal"/>
  </w:style>
  <w:style w:type="table" w:customStyle="1" w:styleId="table">
    <w:name w:val="table"/>
    <w:basedOn w:val="TableNormal"/>
    <w:tblPr/>
  </w:style>
  <w:style w:type="paragraph" w:customStyle="1" w:styleId="require-more-docs">
    <w:name w:val="require-more-docs"/>
    <w:basedOn w:val="Normal"/>
    <w:rPr>
      <w:color w:val="FF0000"/>
    </w:rPr>
  </w:style>
  <w:style w:type="character" w:customStyle="1" w:styleId="require-more-docsCharacter">
    <w:name w:val="require-more-docs Character"/>
    <w:basedOn w:val="DefaultParagraphFont"/>
    <w:rPr>
      <w:color w:val="FF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Due Diligence Report - SK Finance Limited</dc:title>
  <cp:revision>1</cp:revision>
</cp:coreProperties>
</file>