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reading ntuple_array.root and selecting tree;2 used T-&gt;MakeClass(“q4_var_check”) to generate the required analysis skeleton and header files.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629135" cy="7620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25924" l="0" r="528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9135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modifying the analysis loop to separate electron, muon and Generated Particle values into separate vectors, output is written to q4_tree.root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structure is verified using TBrowser and cross-checking number of entries against nElectrons in ntuple_array.root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0534650" cy="559653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0" cy="5596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After loading q4_tree.root, we use MakeClass(“Z_mass”) to create the required analysis skeleton and header files. After modifying the analysis loop using LorentzVectors, and adding the obtained values to Histogram, the output is written to q4_z_mass.root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781800" cy="66579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7600950" cy="54673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600950" cy="5467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600950" cy="5467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8288000" cy="9686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68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