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E511" w14:textId="77777777" w:rsidR="00790180" w:rsidRDefault="00000000">
      <w:pPr>
        <w:pStyle w:val="Title"/>
        <w:spacing w:after="60"/>
      </w:pPr>
      <w:r>
        <w:t>Learning Production Rotoscoping from Spline Data</w:t>
      </w:r>
    </w:p>
    <w:p w14:paraId="4393A999" w14:textId="77777777" w:rsidR="00790180" w:rsidRDefault="00000000">
      <w:pPr>
        <w:pStyle w:val="Subtitle"/>
        <w:spacing w:after="180"/>
      </w:pPr>
      <w:r>
        <w:rPr>
          <w:rFonts w:ascii="Aptos" w:hAnsi="Aptos"/>
          <w:sz w:val="24"/>
        </w:rPr>
        <w:t>High-level technical primer: what we are trying to learn, why our data matters, and the first experiment</w:t>
      </w:r>
    </w:p>
    <w:tbl>
      <w:tblPr>
        <w:tblW w:w="0" w:type="auto"/>
        <w:jc w:val="center"/>
        <w:tblLayout w:type="fixed"/>
        <w:tblLook w:val="04A0" w:firstRow="1" w:lastRow="0" w:firstColumn="1" w:lastColumn="0" w:noHBand="0" w:noVBand="1"/>
      </w:tblPr>
      <w:tblGrid>
        <w:gridCol w:w="9936"/>
      </w:tblGrid>
      <w:tr w:rsidR="00790180" w14:paraId="6F6987C4" w14:textId="77777777">
        <w:trPr>
          <w:jc w:val="center"/>
        </w:trPr>
        <w:tc>
          <w:tcPr>
            <w:tcW w:w="9936" w:type="dxa"/>
            <w:tcBorders>
              <w:top w:val="single" w:sz="5" w:space="0" w:color="AFC5D6"/>
              <w:left w:val="single" w:sz="5" w:space="0" w:color="AFC5D6"/>
              <w:bottom w:val="single" w:sz="5" w:space="0" w:color="AFC5D6"/>
              <w:right w:val="single" w:sz="5" w:space="0" w:color="AFC5D6"/>
            </w:tcBorders>
            <w:shd w:val="clear" w:color="auto" w:fill="EAF2F8"/>
            <w:tcMar>
              <w:top w:w="105" w:type="dxa"/>
              <w:left w:w="130" w:type="dxa"/>
              <w:bottom w:w="105" w:type="dxa"/>
              <w:right w:w="130" w:type="dxa"/>
            </w:tcMar>
          </w:tcPr>
          <w:p w14:paraId="12DE2621" w14:textId="77777777" w:rsidR="00790180" w:rsidRDefault="00000000">
            <w:pPr>
              <w:spacing w:after="0"/>
            </w:pPr>
            <w:r>
              <w:rPr>
                <w:b/>
                <w:color w:val="17324D"/>
              </w:rPr>
              <w:t>Core idea.</w:t>
            </w:r>
            <w:r>
              <w:rPr>
                <w:color w:val="222222"/>
              </w:rPr>
              <w:t xml:space="preserve"> Slapshot Roto already gives us a strong raster alpha sequence. The opportunity is to learn the structured spline program a professional artist would have built - using the alpha as the object guide, the original RGB sequence for missing visual detail, and our historical spline archive as the supervision.</w:t>
            </w:r>
          </w:p>
        </w:tc>
      </w:tr>
    </w:tbl>
    <w:p w14:paraId="3E8A6ADB" w14:textId="77777777" w:rsidR="00790180" w:rsidRDefault="00790180">
      <w:pPr>
        <w:spacing w:after="0"/>
      </w:pPr>
    </w:p>
    <w:p w14:paraId="5F3228C0" w14:textId="77777777" w:rsidR="00790180" w:rsidRDefault="00000000">
      <w:pPr>
        <w:pStyle w:val="Heading1"/>
      </w:pPr>
      <w:r>
        <w:t>1. The gap we are trying to close</w:t>
      </w:r>
    </w:p>
    <w:p w14:paraId="22523BBF" w14:textId="77777777" w:rsidR="00790180" w:rsidRDefault="00000000">
      <w:pPr>
        <w:rPr>
          <w:color w:val="222222"/>
        </w:rPr>
      </w:pPr>
      <w:r>
        <w:rPr>
          <w:color w:val="222222"/>
        </w:rPr>
        <w:t xml:space="preserve">Professional rotoscoping is not just segmentation. Artists build a set of overlapping Bézier spline shapes, choose a small number of meaningful control points, and animate those shapes with sparse keyframes. The rendered result is an alpha matte, but the underlying spline program is what makes the work stable, editable, and </w:t>
      </w:r>
      <w:proofErr w:type="gramStart"/>
      <w:r>
        <w:rPr>
          <w:color w:val="222222"/>
        </w:rPr>
        <w:t>production-ready</w:t>
      </w:r>
      <w:proofErr w:type="gramEnd"/>
      <w:r>
        <w:rPr>
          <w:color w:val="222222"/>
        </w:rPr>
        <w:t>.</w:t>
      </w:r>
    </w:p>
    <w:p w14:paraId="422E0027" w14:textId="77777777" w:rsidR="001601D6" w:rsidRDefault="001601D6"/>
    <w:tbl>
      <w:tblPr>
        <w:tblW w:w="0" w:type="auto"/>
        <w:jc w:val="center"/>
        <w:tblLayout w:type="fixed"/>
        <w:tblLook w:val="04A0" w:firstRow="1" w:lastRow="0" w:firstColumn="1" w:lastColumn="0" w:noHBand="0" w:noVBand="1"/>
      </w:tblPr>
      <w:tblGrid>
        <w:gridCol w:w="5083"/>
        <w:gridCol w:w="5083"/>
      </w:tblGrid>
      <w:tr w:rsidR="00790180" w14:paraId="5D5B4018" w14:textId="77777777">
        <w:trPr>
          <w:jc w:val="center"/>
        </w:trPr>
        <w:tc>
          <w:tcPr>
            <w:tcW w:w="5083" w:type="dxa"/>
            <w:tcBorders>
              <w:top w:val="nil"/>
              <w:left w:val="nil"/>
              <w:bottom w:val="nil"/>
              <w:right w:val="nil"/>
            </w:tcBorders>
            <w:tcMar>
              <w:top w:w="20" w:type="dxa"/>
              <w:left w:w="30" w:type="dxa"/>
              <w:bottom w:w="20" w:type="dxa"/>
              <w:right w:w="30" w:type="dxa"/>
            </w:tcMar>
          </w:tcPr>
          <w:p w14:paraId="47CADABD" w14:textId="77777777" w:rsidR="00790180" w:rsidRDefault="00000000">
            <w:pPr>
              <w:spacing w:after="20"/>
              <w:jc w:val="center"/>
            </w:pPr>
            <w:r>
              <w:rPr>
                <w:noProof/>
              </w:rPr>
              <w:drawing>
                <wp:inline distT="0" distB="0" distL="0" distR="0" wp14:anchorId="61BE9968" wp14:editId="68101E9E">
                  <wp:extent cx="2944368" cy="1032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944368" cy="1032047"/>
                          </a:xfrm>
                          <a:prstGeom prst="rect">
                            <a:avLst/>
                          </a:prstGeom>
                        </pic:spPr>
                      </pic:pic>
                    </a:graphicData>
                  </a:graphic>
                </wp:inline>
              </w:drawing>
            </w:r>
          </w:p>
        </w:tc>
        <w:tc>
          <w:tcPr>
            <w:tcW w:w="5083" w:type="dxa"/>
            <w:tcBorders>
              <w:top w:val="nil"/>
              <w:left w:val="nil"/>
              <w:bottom w:val="nil"/>
              <w:right w:val="nil"/>
            </w:tcBorders>
            <w:tcMar>
              <w:top w:w="20" w:type="dxa"/>
              <w:left w:w="30" w:type="dxa"/>
              <w:bottom w:w="20" w:type="dxa"/>
              <w:right w:w="30" w:type="dxa"/>
            </w:tcMar>
          </w:tcPr>
          <w:p w14:paraId="4C366205" w14:textId="77777777" w:rsidR="00790180" w:rsidRDefault="00000000">
            <w:pPr>
              <w:spacing w:after="20"/>
              <w:jc w:val="center"/>
            </w:pPr>
            <w:r>
              <w:rPr>
                <w:noProof/>
              </w:rPr>
              <w:drawing>
                <wp:inline distT="0" distB="0" distL="0" distR="0" wp14:anchorId="4D738C8F" wp14:editId="64E418C6">
                  <wp:extent cx="2944368" cy="940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944368" cy="940984"/>
                          </a:xfrm>
                          <a:prstGeom prst="rect">
                            <a:avLst/>
                          </a:prstGeom>
                        </pic:spPr>
                      </pic:pic>
                    </a:graphicData>
                  </a:graphic>
                </wp:inline>
              </w:drawing>
            </w:r>
          </w:p>
        </w:tc>
      </w:tr>
    </w:tbl>
    <w:p w14:paraId="10B6B03D" w14:textId="77777777" w:rsidR="00790180" w:rsidRDefault="00000000">
      <w:pPr>
        <w:spacing w:before="40" w:after="60"/>
        <w:jc w:val="center"/>
      </w:pPr>
      <w:r>
        <w:rPr>
          <w:i/>
          <w:color w:val="5F6978"/>
          <w:sz w:val="16"/>
        </w:rPr>
        <w:t>Left: the same alpha can come from a much richer artist-style shape breakdown. Right: simply vectorizing raster output tends to preserve jitter, blobs, and dense keys.</w:t>
      </w:r>
    </w:p>
    <w:p w14:paraId="4B93CDA1" w14:textId="77777777" w:rsidR="00790180" w:rsidRDefault="00000000">
      <w:pPr>
        <w:pStyle w:val="Heading2"/>
      </w:pPr>
      <w:r>
        <w:t>Where Slapshot Roto fits</w:t>
      </w:r>
    </w:p>
    <w:p w14:paraId="00447F8B" w14:textId="77777777" w:rsidR="00790180" w:rsidRDefault="00000000">
      <w:r>
        <w:rPr>
          <w:color w:val="222222"/>
        </w:rPr>
        <w:t>Slapshot Roto solves the front half of the problem: it predicts which pixels belong to the target and produces an alpha sequence. What it does not contain is the artist representation behind that matte - shape decomposition, control-point economy, layer relationships, and sparse keyframe timing.</w:t>
      </w:r>
    </w:p>
    <w:p w14:paraId="5EDDBA1B" w14:textId="77777777" w:rsidR="00790180" w:rsidRDefault="00000000">
      <w:pPr>
        <w:pStyle w:val="ListBullet"/>
        <w:spacing w:after="44" w:line="247" w:lineRule="auto"/>
        <w:ind w:left="259" w:hanging="173"/>
      </w:pPr>
      <w:r>
        <w:rPr>
          <w:color w:val="222222"/>
        </w:rPr>
        <w:t>The raster output can chatter frame to frame, and naive vectorization bakes that chatter into the splines.</w:t>
      </w:r>
    </w:p>
    <w:p w14:paraId="7B398A01" w14:textId="77777777" w:rsidR="00790180" w:rsidRDefault="00000000">
      <w:pPr>
        <w:pStyle w:val="ListBullet"/>
        <w:spacing w:after="44" w:line="247" w:lineRule="auto"/>
        <w:ind w:left="259" w:hanging="173"/>
      </w:pPr>
      <w:r>
        <w:rPr>
          <w:color w:val="222222"/>
        </w:rPr>
        <w:t>A combined alpha does not reveal how an artist would split an articulated subject into independently moving layers.</w:t>
      </w:r>
    </w:p>
    <w:p w14:paraId="69703BAD" w14:textId="77777777" w:rsidR="00790180" w:rsidRDefault="00000000">
      <w:pPr>
        <w:pStyle w:val="ListBullet"/>
        <w:spacing w:after="44" w:line="247" w:lineRule="auto"/>
        <w:ind w:left="259" w:hanging="173"/>
      </w:pPr>
      <w:r>
        <w:rPr>
          <w:color w:val="222222"/>
        </w:rPr>
        <w:t>The alpha is also lossy: Slapshot can omit real plate detail such as fine hair, thin structures, or subtle boundaries.</w:t>
      </w:r>
    </w:p>
    <w:p w14:paraId="11AE4AAB" w14:textId="77777777" w:rsidR="00790180" w:rsidRDefault="00000000">
      <w:r>
        <w:br w:type="page"/>
      </w:r>
    </w:p>
    <w:p w14:paraId="66734E65" w14:textId="15BFC4DD" w:rsidR="00790180" w:rsidRDefault="00000000">
      <w:pPr>
        <w:pStyle w:val="Heading1"/>
      </w:pPr>
      <w:r>
        <w:lastRenderedPageBreak/>
        <w:t xml:space="preserve">2. Why our </w:t>
      </w:r>
      <w:r w:rsidR="004641B0">
        <w:t xml:space="preserve">Hotspring </w:t>
      </w:r>
      <w:r>
        <w:t>archive makes this learnable</w:t>
      </w:r>
    </w:p>
    <w:p w14:paraId="70937572" w14:textId="4EEEADEA" w:rsidR="00790180" w:rsidRDefault="00000000">
      <w:pPr>
        <w:rPr>
          <w:color w:val="222222"/>
        </w:rPr>
      </w:pPr>
      <w:r>
        <w:rPr>
          <w:color w:val="222222"/>
        </w:rPr>
        <w:t xml:space="preserve">Our historical </w:t>
      </w:r>
      <w:r w:rsidR="004641B0">
        <w:rPr>
          <w:color w:val="222222"/>
        </w:rPr>
        <w:t xml:space="preserve">Hotspring </w:t>
      </w:r>
      <w:r>
        <w:rPr>
          <w:color w:val="222222"/>
        </w:rPr>
        <w:t>archive contains the hidden production representation, not only the matte it produces. The spline files can directly supervise how artists break subjects into shapes, where they place Bézier points and handles, how those points move, and where they choose to key versus interpolate.</w:t>
      </w:r>
    </w:p>
    <w:p w14:paraId="5E177408" w14:textId="77777777" w:rsidR="001601D6" w:rsidRDefault="001601D6"/>
    <w:tbl>
      <w:tblPr>
        <w:tblW w:w="0" w:type="auto"/>
        <w:jc w:val="center"/>
        <w:tblLayout w:type="fixed"/>
        <w:tblLook w:val="04A0" w:firstRow="1" w:lastRow="0" w:firstColumn="1" w:lastColumn="0" w:noHBand="0" w:noVBand="1"/>
      </w:tblPr>
      <w:tblGrid>
        <w:gridCol w:w="2541"/>
        <w:gridCol w:w="2541"/>
        <w:gridCol w:w="2541"/>
        <w:gridCol w:w="2313"/>
        <w:gridCol w:w="228"/>
      </w:tblGrid>
      <w:tr w:rsidR="00790180" w14:paraId="1F0096A0" w14:textId="77777777">
        <w:trPr>
          <w:jc w:val="center"/>
        </w:trPr>
        <w:tc>
          <w:tcPr>
            <w:tcW w:w="2541" w:type="dxa"/>
            <w:tcBorders>
              <w:top w:val="single" w:sz="5" w:space="0" w:color="B9CBD8"/>
              <w:left w:val="single" w:sz="5" w:space="0" w:color="B9CBD8"/>
              <w:bottom w:val="single" w:sz="5" w:space="0" w:color="B9CBD8"/>
              <w:right w:val="single" w:sz="5" w:space="0" w:color="B9CBD8"/>
            </w:tcBorders>
            <w:shd w:val="clear" w:color="auto" w:fill="F5F8FA"/>
            <w:tcMar>
              <w:top w:w="100" w:type="dxa"/>
              <w:left w:w="80" w:type="dxa"/>
              <w:bottom w:w="100" w:type="dxa"/>
              <w:right w:w="80" w:type="dxa"/>
            </w:tcMar>
            <w:vAlign w:val="center"/>
          </w:tcPr>
          <w:p w14:paraId="640D80CF" w14:textId="77777777" w:rsidR="00790180" w:rsidRDefault="00000000">
            <w:pPr>
              <w:spacing w:after="20"/>
              <w:jc w:val="center"/>
            </w:pPr>
            <w:r>
              <w:rPr>
                <w:b/>
                <w:color w:val="17324D"/>
                <w:sz w:val="19"/>
              </w:rPr>
              <w:t>Breakdown</w:t>
            </w:r>
          </w:p>
          <w:p w14:paraId="751382B4" w14:textId="77777777" w:rsidR="00790180" w:rsidRDefault="00000000">
            <w:pPr>
              <w:spacing w:after="0"/>
              <w:jc w:val="center"/>
            </w:pPr>
            <w:r>
              <w:rPr>
                <w:color w:val="5F6978"/>
                <w:sz w:val="16"/>
              </w:rPr>
              <w:t>Which independent shapes exist</w:t>
            </w:r>
          </w:p>
        </w:tc>
        <w:tc>
          <w:tcPr>
            <w:tcW w:w="2541" w:type="dxa"/>
            <w:tcBorders>
              <w:top w:val="single" w:sz="5" w:space="0" w:color="B9CBD8"/>
              <w:left w:val="single" w:sz="5" w:space="0" w:color="B9CBD8"/>
              <w:bottom w:val="single" w:sz="5" w:space="0" w:color="B9CBD8"/>
              <w:right w:val="single" w:sz="5" w:space="0" w:color="B9CBD8"/>
            </w:tcBorders>
            <w:shd w:val="clear" w:color="auto" w:fill="F5F8FA"/>
            <w:tcMar>
              <w:top w:w="100" w:type="dxa"/>
              <w:left w:w="80" w:type="dxa"/>
              <w:bottom w:w="100" w:type="dxa"/>
              <w:right w:w="80" w:type="dxa"/>
            </w:tcMar>
            <w:vAlign w:val="center"/>
          </w:tcPr>
          <w:p w14:paraId="088A16C0" w14:textId="77777777" w:rsidR="00790180" w:rsidRDefault="00000000">
            <w:pPr>
              <w:spacing w:after="20"/>
              <w:jc w:val="center"/>
            </w:pPr>
            <w:r>
              <w:rPr>
                <w:b/>
                <w:color w:val="17324D"/>
                <w:sz w:val="19"/>
              </w:rPr>
              <w:t>Geometry</w:t>
            </w:r>
          </w:p>
          <w:p w14:paraId="349771AF" w14:textId="77777777" w:rsidR="00790180" w:rsidRDefault="00000000">
            <w:pPr>
              <w:spacing w:after="0"/>
              <w:jc w:val="center"/>
            </w:pPr>
            <w:r>
              <w:rPr>
                <w:color w:val="5F6978"/>
                <w:sz w:val="16"/>
              </w:rPr>
              <w:t>Points, handles, overlap and hierarchy</w:t>
            </w:r>
          </w:p>
        </w:tc>
        <w:tc>
          <w:tcPr>
            <w:tcW w:w="2541" w:type="dxa"/>
            <w:tcBorders>
              <w:top w:val="single" w:sz="5" w:space="0" w:color="B9CBD8"/>
              <w:left w:val="single" w:sz="5" w:space="0" w:color="B9CBD8"/>
              <w:bottom w:val="single" w:sz="5" w:space="0" w:color="B9CBD8"/>
              <w:right w:val="single" w:sz="5" w:space="0" w:color="B9CBD8"/>
            </w:tcBorders>
            <w:shd w:val="clear" w:color="auto" w:fill="F5F8FA"/>
            <w:tcMar>
              <w:top w:w="100" w:type="dxa"/>
              <w:left w:w="80" w:type="dxa"/>
              <w:bottom w:w="100" w:type="dxa"/>
              <w:right w:w="80" w:type="dxa"/>
            </w:tcMar>
            <w:vAlign w:val="center"/>
          </w:tcPr>
          <w:p w14:paraId="30F10750" w14:textId="77777777" w:rsidR="00790180" w:rsidRDefault="00000000">
            <w:pPr>
              <w:spacing w:after="20"/>
              <w:jc w:val="center"/>
            </w:pPr>
            <w:r>
              <w:rPr>
                <w:b/>
                <w:color w:val="17324D"/>
                <w:sz w:val="19"/>
              </w:rPr>
              <w:t>Animation</w:t>
            </w:r>
          </w:p>
          <w:p w14:paraId="29B25F81" w14:textId="77777777" w:rsidR="00790180" w:rsidRDefault="00000000">
            <w:pPr>
              <w:spacing w:after="0"/>
              <w:jc w:val="center"/>
            </w:pPr>
            <w:r>
              <w:rPr>
                <w:color w:val="5F6978"/>
                <w:sz w:val="16"/>
              </w:rPr>
              <w:t>How the same shapes deform through time</w:t>
            </w:r>
          </w:p>
        </w:tc>
        <w:tc>
          <w:tcPr>
            <w:tcW w:w="2541" w:type="dxa"/>
            <w:gridSpan w:val="2"/>
            <w:tcBorders>
              <w:top w:val="single" w:sz="5" w:space="0" w:color="B9CBD8"/>
              <w:left w:val="single" w:sz="5" w:space="0" w:color="B9CBD8"/>
              <w:bottom w:val="single" w:sz="5" w:space="0" w:color="B9CBD8"/>
              <w:right w:val="single" w:sz="5" w:space="0" w:color="B9CBD8"/>
            </w:tcBorders>
            <w:shd w:val="clear" w:color="auto" w:fill="F5F8FA"/>
            <w:tcMar>
              <w:top w:w="100" w:type="dxa"/>
              <w:left w:w="80" w:type="dxa"/>
              <w:bottom w:w="100" w:type="dxa"/>
              <w:right w:w="80" w:type="dxa"/>
            </w:tcMar>
            <w:vAlign w:val="center"/>
          </w:tcPr>
          <w:p w14:paraId="3B06B0BB" w14:textId="77777777" w:rsidR="00790180" w:rsidRDefault="00000000">
            <w:pPr>
              <w:spacing w:after="20"/>
              <w:jc w:val="center"/>
            </w:pPr>
            <w:r>
              <w:rPr>
                <w:b/>
                <w:color w:val="17324D"/>
                <w:sz w:val="19"/>
              </w:rPr>
              <w:t>Keyframes</w:t>
            </w:r>
          </w:p>
          <w:p w14:paraId="0AB6B9BF" w14:textId="77777777" w:rsidR="00790180" w:rsidRDefault="00000000">
            <w:pPr>
              <w:spacing w:after="0"/>
              <w:jc w:val="center"/>
            </w:pPr>
            <w:r>
              <w:rPr>
                <w:color w:val="5F6978"/>
                <w:sz w:val="16"/>
              </w:rPr>
              <w:t>Where artists intervene - and where they do not</w:t>
            </w:r>
          </w:p>
        </w:tc>
      </w:tr>
      <w:tr w:rsidR="00790180" w14:paraId="1C9FDEDB" w14:textId="77777777">
        <w:trPr>
          <w:gridAfter w:val="1"/>
          <w:wAfter w:w="48" w:type="dxa"/>
          <w:jc w:val="center"/>
        </w:trPr>
        <w:tc>
          <w:tcPr>
            <w:tcW w:w="9936" w:type="dxa"/>
            <w:gridSpan w:val="4"/>
            <w:tcBorders>
              <w:top w:val="single" w:sz="5" w:space="0" w:color="AFC5D6"/>
              <w:left w:val="single" w:sz="5" w:space="0" w:color="AFC5D6"/>
              <w:bottom w:val="single" w:sz="5" w:space="0" w:color="AFC5D6"/>
              <w:right w:val="single" w:sz="5" w:space="0" w:color="AFC5D6"/>
            </w:tcBorders>
            <w:shd w:val="clear" w:color="auto" w:fill="F3F7FA"/>
            <w:tcMar>
              <w:top w:w="105" w:type="dxa"/>
              <w:left w:w="130" w:type="dxa"/>
              <w:bottom w:w="105" w:type="dxa"/>
              <w:right w:w="130" w:type="dxa"/>
            </w:tcMar>
          </w:tcPr>
          <w:p w14:paraId="749F417A" w14:textId="77777777" w:rsidR="00790180" w:rsidRDefault="00000000">
            <w:pPr>
              <w:spacing w:after="0"/>
            </w:pPr>
            <w:r>
              <w:rPr>
                <w:color w:val="17324D"/>
              </w:rPr>
              <w:t>This changes the task from generic vectorization into supervised learning of an artist prior: among the many spline programs that could reproduce a matte, learn the kind of program a professional would actually deliver.</w:t>
            </w:r>
          </w:p>
        </w:tc>
      </w:tr>
    </w:tbl>
    <w:p w14:paraId="3C3542DD" w14:textId="77777777" w:rsidR="00790180" w:rsidRDefault="00790180">
      <w:pPr>
        <w:spacing w:after="0"/>
      </w:pPr>
    </w:p>
    <w:p w14:paraId="6252E0D0" w14:textId="77777777" w:rsidR="00790180" w:rsidRDefault="00000000">
      <w:pPr>
        <w:pStyle w:val="Heading1"/>
      </w:pPr>
      <w:r>
        <w:t>3. The proposed model, at a high level</w:t>
      </w:r>
    </w:p>
    <w:p w14:paraId="2087852C" w14:textId="77777777" w:rsidR="00790180" w:rsidRDefault="00000000">
      <w:pPr>
        <w:rPr>
          <w:color w:val="222222"/>
        </w:rPr>
      </w:pPr>
      <w:r>
        <w:rPr>
          <w:color w:val="222222"/>
        </w:rPr>
        <w:t>The production version should use both the Slapshot alpha sequence and the aligned RGB image sequence. The alpha gives a strong spatial hypothesis for the target; RGB lets the model recover real visual evidence that the raster prediction missed and helps disambiguate internal articulation.</w:t>
      </w:r>
    </w:p>
    <w:p w14:paraId="389C27D5" w14:textId="77777777" w:rsidR="001601D6" w:rsidRDefault="001601D6"/>
    <w:tbl>
      <w:tblPr>
        <w:tblW w:w="0" w:type="auto"/>
        <w:jc w:val="center"/>
        <w:tblLayout w:type="fixed"/>
        <w:tblLook w:val="04A0" w:firstRow="1" w:lastRow="0" w:firstColumn="1" w:lastColumn="0" w:noHBand="0" w:noVBand="1"/>
      </w:tblPr>
      <w:tblGrid>
        <w:gridCol w:w="1829"/>
        <w:gridCol w:w="360"/>
        <w:gridCol w:w="1829"/>
        <w:gridCol w:w="360"/>
        <w:gridCol w:w="1829"/>
        <w:gridCol w:w="360"/>
        <w:gridCol w:w="1829"/>
        <w:gridCol w:w="360"/>
        <w:gridCol w:w="1656"/>
      </w:tblGrid>
      <w:tr w:rsidR="00790180" w14:paraId="0D6B43AF" w14:textId="77777777">
        <w:trPr>
          <w:jc w:val="center"/>
        </w:trPr>
        <w:tc>
          <w:tcPr>
            <w:tcW w:w="1829" w:type="dxa"/>
            <w:tcBorders>
              <w:top w:val="single" w:sz="5" w:space="0" w:color="B9CBD8"/>
              <w:left w:val="single" w:sz="5" w:space="0" w:color="B9CBD8"/>
              <w:bottom w:val="single" w:sz="5" w:space="0" w:color="B9CBD8"/>
              <w:right w:val="single" w:sz="5" w:space="0" w:color="B9CBD8"/>
            </w:tcBorders>
            <w:shd w:val="clear" w:color="auto" w:fill="EAF2F8"/>
            <w:tcMar>
              <w:top w:w="100" w:type="dxa"/>
              <w:left w:w="80" w:type="dxa"/>
              <w:bottom w:w="100" w:type="dxa"/>
              <w:right w:w="80" w:type="dxa"/>
            </w:tcMar>
            <w:vAlign w:val="center"/>
          </w:tcPr>
          <w:p w14:paraId="0A0CBB42" w14:textId="77777777" w:rsidR="00790180" w:rsidRDefault="00000000">
            <w:pPr>
              <w:spacing w:after="20"/>
              <w:jc w:val="center"/>
            </w:pPr>
            <w:r>
              <w:rPr>
                <w:b/>
                <w:color w:val="17324D"/>
                <w:sz w:val="19"/>
              </w:rPr>
              <w:t>Slapshot alpha</w:t>
            </w:r>
            <w:r>
              <w:rPr>
                <w:b/>
                <w:color w:val="17324D"/>
                <w:sz w:val="19"/>
              </w:rPr>
              <w:br/>
              <w:t>+ RGB</w:t>
            </w:r>
          </w:p>
          <w:p w14:paraId="25789763" w14:textId="77777777" w:rsidR="00790180" w:rsidRDefault="00000000">
            <w:pPr>
              <w:spacing w:after="0"/>
              <w:jc w:val="center"/>
            </w:pPr>
            <w:r>
              <w:rPr>
                <w:color w:val="5F6978"/>
                <w:sz w:val="16"/>
              </w:rPr>
              <w:t>Inputs</w:t>
            </w:r>
          </w:p>
        </w:tc>
        <w:tc>
          <w:tcPr>
            <w:tcW w:w="360" w:type="dxa"/>
            <w:tcMar>
              <w:top w:w="100" w:type="dxa"/>
              <w:left w:w="0" w:type="dxa"/>
              <w:bottom w:w="100" w:type="dxa"/>
              <w:right w:w="0" w:type="dxa"/>
            </w:tcMar>
          </w:tcPr>
          <w:p w14:paraId="1E548496" w14:textId="77777777" w:rsidR="00790180" w:rsidRDefault="00000000">
            <w:pPr>
              <w:spacing w:after="20"/>
              <w:jc w:val="center"/>
            </w:pPr>
            <w:r>
              <w:rPr>
                <w:b/>
                <w:color w:val="2F6B9A"/>
                <w:sz w:val="30"/>
              </w:rPr>
              <w:t>→</w:t>
            </w:r>
          </w:p>
        </w:tc>
        <w:tc>
          <w:tcPr>
            <w:tcW w:w="1829" w:type="dxa"/>
            <w:tcBorders>
              <w:top w:val="single" w:sz="5" w:space="0" w:color="B9CBD8"/>
              <w:left w:val="single" w:sz="5" w:space="0" w:color="B9CBD8"/>
              <w:bottom w:val="single" w:sz="5" w:space="0" w:color="B9CBD8"/>
              <w:right w:val="single" w:sz="5" w:space="0" w:color="B9CBD8"/>
            </w:tcBorders>
            <w:shd w:val="clear" w:color="auto" w:fill="F5F8FA"/>
            <w:tcMar>
              <w:top w:w="100" w:type="dxa"/>
              <w:left w:w="80" w:type="dxa"/>
              <w:bottom w:w="100" w:type="dxa"/>
              <w:right w:w="80" w:type="dxa"/>
            </w:tcMar>
            <w:vAlign w:val="center"/>
          </w:tcPr>
          <w:p w14:paraId="2B6F3D3E" w14:textId="77777777" w:rsidR="00790180" w:rsidRDefault="00000000">
            <w:pPr>
              <w:spacing w:after="20"/>
              <w:jc w:val="center"/>
            </w:pPr>
            <w:r>
              <w:rPr>
                <w:b/>
                <w:color w:val="17324D"/>
                <w:sz w:val="19"/>
              </w:rPr>
              <w:t>Visual encoder</w:t>
            </w:r>
          </w:p>
          <w:p w14:paraId="658D49B0" w14:textId="77777777" w:rsidR="00790180" w:rsidRDefault="00000000">
            <w:pPr>
              <w:spacing w:after="0"/>
              <w:jc w:val="center"/>
            </w:pPr>
            <w:r>
              <w:rPr>
                <w:color w:val="5F6978"/>
                <w:sz w:val="16"/>
              </w:rPr>
              <w:t>Understands shape, motion and RGB detail</w:t>
            </w:r>
          </w:p>
        </w:tc>
        <w:tc>
          <w:tcPr>
            <w:tcW w:w="360" w:type="dxa"/>
            <w:tcMar>
              <w:top w:w="100" w:type="dxa"/>
              <w:left w:w="0" w:type="dxa"/>
              <w:bottom w:w="100" w:type="dxa"/>
              <w:right w:w="0" w:type="dxa"/>
            </w:tcMar>
          </w:tcPr>
          <w:p w14:paraId="7850E0CA" w14:textId="77777777" w:rsidR="00790180" w:rsidRDefault="00000000">
            <w:pPr>
              <w:spacing w:after="20"/>
              <w:jc w:val="center"/>
            </w:pPr>
            <w:r>
              <w:rPr>
                <w:b/>
                <w:color w:val="2F6B9A"/>
                <w:sz w:val="30"/>
              </w:rPr>
              <w:t>→</w:t>
            </w:r>
          </w:p>
        </w:tc>
        <w:tc>
          <w:tcPr>
            <w:tcW w:w="1829" w:type="dxa"/>
            <w:tcBorders>
              <w:top w:val="single" w:sz="5" w:space="0" w:color="B9CBD8"/>
              <w:left w:val="single" w:sz="5" w:space="0" w:color="B9CBD8"/>
              <w:bottom w:val="single" w:sz="5" w:space="0" w:color="B9CBD8"/>
              <w:right w:val="single" w:sz="5" w:space="0" w:color="B9CBD8"/>
            </w:tcBorders>
            <w:shd w:val="clear" w:color="auto" w:fill="F6E8B1"/>
            <w:tcMar>
              <w:top w:w="100" w:type="dxa"/>
              <w:left w:w="80" w:type="dxa"/>
              <w:bottom w:w="100" w:type="dxa"/>
              <w:right w:w="80" w:type="dxa"/>
            </w:tcMar>
            <w:vAlign w:val="center"/>
          </w:tcPr>
          <w:p w14:paraId="51CCAF40" w14:textId="77777777" w:rsidR="00790180" w:rsidRDefault="00000000">
            <w:pPr>
              <w:spacing w:after="20"/>
              <w:jc w:val="center"/>
            </w:pPr>
            <w:r>
              <w:rPr>
                <w:b/>
                <w:color w:val="17324D"/>
                <w:sz w:val="19"/>
              </w:rPr>
              <w:t>Semantic context</w:t>
            </w:r>
          </w:p>
          <w:p w14:paraId="346C0C7B" w14:textId="77777777" w:rsidR="00790180" w:rsidRDefault="00000000">
            <w:pPr>
              <w:spacing w:after="0"/>
              <w:jc w:val="center"/>
            </w:pPr>
            <w:r>
              <w:rPr>
                <w:color w:val="5F6978"/>
                <w:sz w:val="16"/>
              </w:rPr>
              <w:t>VLM: person, forearm, ball, cloth, hair...</w:t>
            </w:r>
          </w:p>
        </w:tc>
        <w:tc>
          <w:tcPr>
            <w:tcW w:w="360" w:type="dxa"/>
            <w:tcMar>
              <w:top w:w="100" w:type="dxa"/>
              <w:left w:w="0" w:type="dxa"/>
              <w:bottom w:w="100" w:type="dxa"/>
              <w:right w:w="0" w:type="dxa"/>
            </w:tcMar>
          </w:tcPr>
          <w:p w14:paraId="3027A98B" w14:textId="77777777" w:rsidR="00790180" w:rsidRDefault="00000000">
            <w:pPr>
              <w:spacing w:after="20"/>
              <w:jc w:val="center"/>
            </w:pPr>
            <w:r>
              <w:rPr>
                <w:b/>
                <w:color w:val="2F6B9A"/>
                <w:sz w:val="30"/>
              </w:rPr>
              <w:t>→</w:t>
            </w:r>
          </w:p>
        </w:tc>
        <w:tc>
          <w:tcPr>
            <w:tcW w:w="1829" w:type="dxa"/>
            <w:tcBorders>
              <w:top w:val="single" w:sz="5" w:space="0" w:color="B9CBD8"/>
              <w:left w:val="single" w:sz="5" w:space="0" w:color="B9CBD8"/>
              <w:bottom w:val="single" w:sz="5" w:space="0" w:color="B9CBD8"/>
              <w:right w:val="single" w:sz="5" w:space="0" w:color="B9CBD8"/>
            </w:tcBorders>
            <w:shd w:val="clear" w:color="auto" w:fill="F5F8FA"/>
            <w:tcMar>
              <w:top w:w="100" w:type="dxa"/>
              <w:left w:w="80" w:type="dxa"/>
              <w:bottom w:w="100" w:type="dxa"/>
              <w:right w:w="80" w:type="dxa"/>
            </w:tcMar>
            <w:vAlign w:val="center"/>
          </w:tcPr>
          <w:p w14:paraId="7CA011AF" w14:textId="77777777" w:rsidR="00790180" w:rsidRDefault="00000000">
            <w:pPr>
              <w:spacing w:after="20"/>
              <w:jc w:val="center"/>
            </w:pPr>
            <w:r>
              <w:rPr>
                <w:b/>
                <w:color w:val="17324D"/>
                <w:sz w:val="19"/>
              </w:rPr>
              <w:t>Roto decoder</w:t>
            </w:r>
          </w:p>
          <w:p w14:paraId="23D35EC3" w14:textId="77777777" w:rsidR="00790180" w:rsidRDefault="00000000">
            <w:pPr>
              <w:spacing w:after="0"/>
              <w:jc w:val="center"/>
            </w:pPr>
            <w:r>
              <w:rPr>
                <w:color w:val="5F6978"/>
                <w:sz w:val="16"/>
              </w:rPr>
              <w:t>Predicts shape breakdown, splines and keyframes</w:t>
            </w:r>
          </w:p>
        </w:tc>
        <w:tc>
          <w:tcPr>
            <w:tcW w:w="360" w:type="dxa"/>
            <w:tcMar>
              <w:top w:w="100" w:type="dxa"/>
              <w:left w:w="0" w:type="dxa"/>
              <w:bottom w:w="100" w:type="dxa"/>
              <w:right w:w="0" w:type="dxa"/>
            </w:tcMar>
          </w:tcPr>
          <w:p w14:paraId="7EE71FCD" w14:textId="77777777" w:rsidR="00790180" w:rsidRDefault="00000000">
            <w:pPr>
              <w:spacing w:after="20"/>
              <w:jc w:val="center"/>
            </w:pPr>
            <w:r>
              <w:rPr>
                <w:b/>
                <w:color w:val="2F6B9A"/>
                <w:sz w:val="30"/>
              </w:rPr>
              <w:t>→</w:t>
            </w:r>
          </w:p>
        </w:tc>
        <w:tc>
          <w:tcPr>
            <w:tcW w:w="1656" w:type="dxa"/>
            <w:tcBorders>
              <w:top w:val="single" w:sz="5" w:space="0" w:color="B9CBD8"/>
              <w:left w:val="single" w:sz="5" w:space="0" w:color="B9CBD8"/>
              <w:bottom w:val="single" w:sz="5" w:space="0" w:color="B9CBD8"/>
              <w:right w:val="single" w:sz="5" w:space="0" w:color="B9CBD8"/>
            </w:tcBorders>
            <w:shd w:val="clear" w:color="auto" w:fill="EAF3E7"/>
            <w:tcMar>
              <w:top w:w="100" w:type="dxa"/>
              <w:left w:w="80" w:type="dxa"/>
              <w:bottom w:w="100" w:type="dxa"/>
              <w:right w:w="80" w:type="dxa"/>
            </w:tcMar>
            <w:vAlign w:val="center"/>
          </w:tcPr>
          <w:p w14:paraId="03BBE7D3" w14:textId="77777777" w:rsidR="00790180" w:rsidRDefault="00000000">
            <w:pPr>
              <w:spacing w:after="20"/>
              <w:jc w:val="center"/>
            </w:pPr>
            <w:r>
              <w:rPr>
                <w:b/>
                <w:color w:val="17324D"/>
                <w:sz w:val="19"/>
              </w:rPr>
              <w:t>Spline program</w:t>
            </w:r>
          </w:p>
          <w:p w14:paraId="5AB92FCA" w14:textId="77777777" w:rsidR="00790180" w:rsidRDefault="00000000">
            <w:pPr>
              <w:spacing w:after="0"/>
              <w:jc w:val="center"/>
            </w:pPr>
            <w:r>
              <w:rPr>
                <w:color w:val="5F6978"/>
                <w:sz w:val="16"/>
              </w:rPr>
              <w:t>Editable production output</w:t>
            </w:r>
          </w:p>
        </w:tc>
      </w:tr>
    </w:tbl>
    <w:p w14:paraId="226071AA" w14:textId="77777777" w:rsidR="001601D6" w:rsidRDefault="001601D6">
      <w:pPr>
        <w:spacing w:after="100"/>
        <w:rPr>
          <w:color w:val="222222"/>
        </w:rPr>
      </w:pPr>
    </w:p>
    <w:p w14:paraId="6710483E" w14:textId="0B504B2B" w:rsidR="00790180" w:rsidRDefault="00000000">
      <w:pPr>
        <w:spacing w:after="100"/>
      </w:pPr>
      <w:r>
        <w:rPr>
          <w:color w:val="222222"/>
        </w:rPr>
        <w:t>The semantic signal is important because spline formation should depend on what the layer represents. A person is articulated and benefits from conventional body-part breakdowns; a basketball is rigid and should usually keep a simple stable shape; cloth and hair need different deformation and keyframe priors. A small VLM can provide those labels/embeddings without being responsible for generating spline coordinates.</w:t>
      </w:r>
    </w:p>
    <w:p w14:paraId="76B07126" w14:textId="77777777" w:rsidR="00790180" w:rsidRDefault="00000000">
      <w:pPr>
        <w:pStyle w:val="Heading2"/>
      </w:pPr>
      <w:r>
        <w:t>What actually learns</w:t>
      </w:r>
    </w:p>
    <w:p w14:paraId="69F1BDF5" w14:textId="77777777" w:rsidR="00790180" w:rsidRDefault="00000000">
      <w:pPr>
        <w:rPr>
          <w:color w:val="222222"/>
        </w:rPr>
      </w:pPr>
      <w:r>
        <w:rPr>
          <w:color w:val="222222"/>
        </w:rPr>
        <w:t>A trainable encoder/decoder network learns the mapping from alpha + RGB + semantic context to the historical artist spline program. DiffVG is not the learning model. It is used during training to render the predicted splines back to an alpha so raster fidelity can contribute an additional loss alongside direct comparison to the artist spline data.</w:t>
      </w:r>
    </w:p>
    <w:p w14:paraId="729DB5CA" w14:textId="77777777" w:rsidR="001601D6" w:rsidRDefault="001601D6"/>
    <w:tbl>
      <w:tblPr>
        <w:tblW w:w="0" w:type="auto"/>
        <w:jc w:val="center"/>
        <w:tblLayout w:type="fixed"/>
        <w:tblLook w:val="04A0" w:firstRow="1" w:lastRow="0" w:firstColumn="1" w:lastColumn="0" w:noHBand="0" w:noVBand="1"/>
      </w:tblPr>
      <w:tblGrid>
        <w:gridCol w:w="2033"/>
        <w:gridCol w:w="2033"/>
        <w:gridCol w:w="2033"/>
        <w:gridCol w:w="2033"/>
        <w:gridCol w:w="1804"/>
        <w:gridCol w:w="229"/>
      </w:tblGrid>
      <w:tr w:rsidR="00790180" w14:paraId="171A6A21" w14:textId="77777777">
        <w:trPr>
          <w:jc w:val="center"/>
        </w:trPr>
        <w:tc>
          <w:tcPr>
            <w:tcW w:w="2033" w:type="dxa"/>
            <w:tcBorders>
              <w:top w:val="single" w:sz="5" w:space="0" w:color="B9CBD8"/>
              <w:left w:val="single" w:sz="5" w:space="0" w:color="B9CBD8"/>
              <w:bottom w:val="single" w:sz="5" w:space="0" w:color="B9CBD8"/>
              <w:right w:val="single" w:sz="5" w:space="0" w:color="B9CBD8"/>
            </w:tcBorders>
            <w:shd w:val="clear" w:color="auto" w:fill="F5F8FA"/>
            <w:tcMar>
              <w:top w:w="100" w:type="dxa"/>
              <w:left w:w="80" w:type="dxa"/>
              <w:bottom w:w="100" w:type="dxa"/>
              <w:right w:w="80" w:type="dxa"/>
            </w:tcMar>
            <w:vAlign w:val="center"/>
          </w:tcPr>
          <w:p w14:paraId="7A114348" w14:textId="77777777" w:rsidR="00790180" w:rsidRDefault="00000000">
            <w:pPr>
              <w:spacing w:after="20"/>
              <w:jc w:val="center"/>
            </w:pPr>
            <w:r>
              <w:rPr>
                <w:b/>
                <w:color w:val="17324D"/>
                <w:sz w:val="19"/>
              </w:rPr>
              <w:t>Predicted splines</w:t>
            </w:r>
          </w:p>
          <w:p w14:paraId="034F14D9" w14:textId="77777777" w:rsidR="00790180" w:rsidRDefault="00000000">
            <w:pPr>
              <w:spacing w:after="0"/>
              <w:jc w:val="center"/>
            </w:pPr>
            <w:r>
              <w:rPr>
                <w:color w:val="5F6978"/>
                <w:sz w:val="16"/>
              </w:rPr>
              <w:t>from the trainable model</w:t>
            </w:r>
          </w:p>
        </w:tc>
        <w:tc>
          <w:tcPr>
            <w:tcW w:w="2033" w:type="dxa"/>
          </w:tcPr>
          <w:p w14:paraId="0BDF8DB2" w14:textId="77777777" w:rsidR="00790180" w:rsidRDefault="00000000">
            <w:pPr>
              <w:spacing w:after="20"/>
              <w:jc w:val="center"/>
            </w:pPr>
            <w:r>
              <w:rPr>
                <w:b/>
                <w:color w:val="2F6B9A"/>
                <w:sz w:val="30"/>
              </w:rPr>
              <w:t>→</w:t>
            </w:r>
          </w:p>
        </w:tc>
        <w:tc>
          <w:tcPr>
            <w:tcW w:w="2033" w:type="dxa"/>
            <w:tcBorders>
              <w:top w:val="single" w:sz="5" w:space="0" w:color="B9CBD8"/>
              <w:left w:val="single" w:sz="5" w:space="0" w:color="B9CBD8"/>
              <w:bottom w:val="single" w:sz="5" w:space="0" w:color="B9CBD8"/>
              <w:right w:val="single" w:sz="5" w:space="0" w:color="B9CBD8"/>
            </w:tcBorders>
            <w:shd w:val="clear" w:color="auto" w:fill="EAF2F8"/>
            <w:tcMar>
              <w:top w:w="100" w:type="dxa"/>
              <w:left w:w="80" w:type="dxa"/>
              <w:bottom w:w="100" w:type="dxa"/>
              <w:right w:w="80" w:type="dxa"/>
            </w:tcMar>
            <w:vAlign w:val="center"/>
          </w:tcPr>
          <w:p w14:paraId="1A4B965F" w14:textId="77777777" w:rsidR="00790180" w:rsidRDefault="00000000">
            <w:pPr>
              <w:spacing w:after="20"/>
              <w:jc w:val="center"/>
            </w:pPr>
            <w:r>
              <w:rPr>
                <w:b/>
                <w:color w:val="17324D"/>
                <w:sz w:val="19"/>
              </w:rPr>
              <w:t>DiffVG</w:t>
            </w:r>
          </w:p>
          <w:p w14:paraId="60D48787" w14:textId="77777777" w:rsidR="00790180" w:rsidRDefault="00000000">
            <w:pPr>
              <w:spacing w:after="0"/>
              <w:jc w:val="center"/>
            </w:pPr>
            <w:r>
              <w:rPr>
                <w:color w:val="5F6978"/>
                <w:sz w:val="16"/>
              </w:rPr>
              <w:t>differentiable render</w:t>
            </w:r>
          </w:p>
        </w:tc>
        <w:tc>
          <w:tcPr>
            <w:tcW w:w="2033" w:type="dxa"/>
          </w:tcPr>
          <w:p w14:paraId="54602C82" w14:textId="77777777" w:rsidR="00790180" w:rsidRDefault="00000000">
            <w:pPr>
              <w:spacing w:after="20"/>
              <w:jc w:val="center"/>
            </w:pPr>
            <w:r>
              <w:rPr>
                <w:b/>
                <w:color w:val="2F6B9A"/>
                <w:sz w:val="30"/>
              </w:rPr>
              <w:t>→</w:t>
            </w:r>
          </w:p>
        </w:tc>
        <w:tc>
          <w:tcPr>
            <w:tcW w:w="2033" w:type="dxa"/>
            <w:gridSpan w:val="2"/>
            <w:tcBorders>
              <w:top w:val="single" w:sz="5" w:space="0" w:color="B9CBD8"/>
              <w:left w:val="single" w:sz="5" w:space="0" w:color="B9CBD8"/>
              <w:bottom w:val="single" w:sz="5" w:space="0" w:color="B9CBD8"/>
              <w:right w:val="single" w:sz="5" w:space="0" w:color="B9CBD8"/>
            </w:tcBorders>
            <w:shd w:val="clear" w:color="auto" w:fill="EAF3E7"/>
            <w:tcMar>
              <w:top w:w="100" w:type="dxa"/>
              <w:left w:w="80" w:type="dxa"/>
              <w:bottom w:w="100" w:type="dxa"/>
              <w:right w:w="80" w:type="dxa"/>
            </w:tcMar>
            <w:vAlign w:val="center"/>
          </w:tcPr>
          <w:p w14:paraId="08984D06" w14:textId="77777777" w:rsidR="00790180" w:rsidRDefault="00000000">
            <w:pPr>
              <w:spacing w:after="20"/>
              <w:jc w:val="center"/>
            </w:pPr>
            <w:r>
              <w:rPr>
                <w:b/>
                <w:color w:val="17324D"/>
                <w:sz w:val="19"/>
              </w:rPr>
              <w:t>Clean artist alpha</w:t>
            </w:r>
          </w:p>
          <w:p w14:paraId="55CF91D5" w14:textId="77777777" w:rsidR="00790180" w:rsidRDefault="00000000">
            <w:pPr>
              <w:spacing w:after="0"/>
              <w:jc w:val="center"/>
            </w:pPr>
            <w:r>
              <w:rPr>
                <w:color w:val="5F6978"/>
                <w:sz w:val="16"/>
              </w:rPr>
              <w:t>raster fidelity target</w:t>
            </w:r>
          </w:p>
        </w:tc>
      </w:tr>
      <w:tr w:rsidR="00790180" w14:paraId="49FEE6A7" w14:textId="77777777">
        <w:trPr>
          <w:gridAfter w:val="1"/>
          <w:wAfter w:w="49" w:type="dxa"/>
          <w:jc w:val="center"/>
        </w:trPr>
        <w:tc>
          <w:tcPr>
            <w:tcW w:w="9936" w:type="dxa"/>
            <w:gridSpan w:val="5"/>
            <w:tcBorders>
              <w:top w:val="single" w:sz="5" w:space="0" w:color="AFC5D6"/>
              <w:left w:val="single" w:sz="5" w:space="0" w:color="AFC5D6"/>
              <w:bottom w:val="single" w:sz="5" w:space="0" w:color="AFC5D6"/>
              <w:right w:val="single" w:sz="5" w:space="0" w:color="AFC5D6"/>
            </w:tcBorders>
            <w:shd w:val="clear" w:color="auto" w:fill="FFF7E2"/>
            <w:tcMar>
              <w:top w:w="105" w:type="dxa"/>
              <w:left w:w="130" w:type="dxa"/>
              <w:bottom w:w="105" w:type="dxa"/>
              <w:right w:w="130" w:type="dxa"/>
            </w:tcMar>
          </w:tcPr>
          <w:p w14:paraId="6B662DFB" w14:textId="77777777" w:rsidR="00790180" w:rsidRDefault="00000000">
            <w:pPr>
              <w:spacing w:after="0"/>
            </w:pPr>
            <w:r>
              <w:rPr>
                <w:b/>
                <w:color w:val="775D13"/>
              </w:rPr>
              <w:t>Important:</w:t>
            </w:r>
            <w:r>
              <w:rPr>
                <w:color w:val="222222"/>
              </w:rPr>
              <w:t xml:space="preserve"> when the input alpha comes from Slapshot inference, the raster loss should still compare the prediction to the clean alpha rendered from the historical artist splines - not to the imperfect Slapshot input. Otherwise we teach the model to reproduce the artifacts we want it to fix.</w:t>
            </w:r>
          </w:p>
        </w:tc>
      </w:tr>
    </w:tbl>
    <w:p w14:paraId="52E360DF" w14:textId="77777777" w:rsidR="00790180" w:rsidRDefault="00790180">
      <w:pPr>
        <w:spacing w:after="0"/>
      </w:pPr>
    </w:p>
    <w:p w14:paraId="78081A6F" w14:textId="77777777" w:rsidR="00790180" w:rsidRDefault="00000000">
      <w:r>
        <w:br w:type="page"/>
      </w:r>
    </w:p>
    <w:p w14:paraId="69EB02D7" w14:textId="77777777" w:rsidR="00790180" w:rsidRDefault="00000000">
      <w:pPr>
        <w:pStyle w:val="Heading1"/>
      </w:pPr>
      <w:r>
        <w:lastRenderedPageBreak/>
        <w:t>4. The first experiment</w:t>
      </w:r>
    </w:p>
    <w:p w14:paraId="77D8EF4F" w14:textId="77777777" w:rsidR="00790180" w:rsidRDefault="00000000">
      <w:r>
        <w:rPr>
          <w:color w:val="222222"/>
        </w:rPr>
        <w:t>We should deliberately prove the idea at small scale before processing the full archive. The first milestone is not unconstrained RGB-to-roto autonomy; it is evidence that our spline representation is learnable and that the resulting output is materially closer to professional construction than naive per-frame vectorization.</w:t>
      </w:r>
    </w:p>
    <w:p w14:paraId="5861978B" w14:textId="77777777" w:rsidR="00790180" w:rsidRDefault="00000000">
      <w:pPr>
        <w:spacing w:line="247" w:lineRule="auto"/>
        <w:ind w:left="346" w:hanging="346"/>
      </w:pPr>
      <w:r>
        <w:rPr>
          <w:b/>
          <w:color w:val="2F6B9A"/>
        </w:rPr>
        <w:t xml:space="preserve">1. </w:t>
      </w:r>
      <w:r>
        <w:rPr>
          <w:color w:val="222222"/>
        </w:rPr>
        <w:t>Define a canonical roto IR and deterministic renderer. Parse a representative sample of historical spline files into one normalized representation and verify that we can round-trip them back to the expected matte.</w:t>
      </w:r>
    </w:p>
    <w:p w14:paraId="32FF9447" w14:textId="77777777" w:rsidR="00790180" w:rsidRDefault="00000000">
      <w:pPr>
        <w:spacing w:line="247" w:lineRule="auto"/>
        <w:ind w:left="346" w:hanging="346"/>
      </w:pPr>
      <w:r>
        <w:rPr>
          <w:b/>
          <w:color w:val="2F6B9A"/>
        </w:rPr>
        <w:t xml:space="preserve">2. </w:t>
      </w:r>
      <w:r>
        <w:rPr>
          <w:color w:val="222222"/>
        </w:rPr>
        <w:t>Tier 1 - use a subset of the archive. Train on RGB + clean alpha rendered from the artist splines, with the original artist spline program as the target. This isolates the core learning problem before introducing Slapshot errors.</w:t>
      </w:r>
    </w:p>
    <w:p w14:paraId="11E82709" w14:textId="77777777" w:rsidR="00790180" w:rsidRDefault="00000000">
      <w:pPr>
        <w:spacing w:line="247" w:lineRule="auto"/>
        <w:ind w:left="346" w:hanging="346"/>
      </w:pPr>
      <w:r>
        <w:rPr>
          <w:b/>
          <w:color w:val="2F6B9A"/>
        </w:rPr>
        <w:t xml:space="preserve">3. </w:t>
      </w:r>
      <w:r>
        <w:rPr>
          <w:color w:val="222222"/>
        </w:rPr>
        <w:t>Start with the easiest version of the task if needed. Provide the historical shape breakdown / reference-frame spline and ask the model to learn animation and keyframing first. Then progressively remove that teacher input so the model must learn point placement and finally the full shape breakdown.</w:t>
      </w:r>
    </w:p>
    <w:p w14:paraId="122E4370" w14:textId="77777777" w:rsidR="00790180" w:rsidRDefault="00000000">
      <w:pPr>
        <w:spacing w:line="247" w:lineRule="auto"/>
        <w:ind w:left="346" w:hanging="346"/>
      </w:pPr>
      <w:r>
        <w:rPr>
          <w:b/>
          <w:color w:val="2F6B9A"/>
        </w:rPr>
        <w:t xml:space="preserve">4. </w:t>
      </w:r>
      <w:r>
        <w:rPr>
          <w:color w:val="222222"/>
        </w:rPr>
        <w:t>Tier 2 - align training with deployment. Run the corresponding historical RGB sequences through Slapshot Roto and train on RGB + predicted Slapshot alpha → historical artist splines. This teaches the model to denoise our real inference artifacts and use RGB evidence to recover details Slapshot omitted.</w:t>
      </w:r>
    </w:p>
    <w:p w14:paraId="13DDD7E3" w14:textId="77777777" w:rsidR="00790180" w:rsidRDefault="00000000">
      <w:pPr>
        <w:pStyle w:val="Heading1"/>
      </w:pPr>
      <w:r>
        <w:t>5. What success looks like</w:t>
      </w:r>
    </w:p>
    <w:p w14:paraId="40AFDBC8" w14:textId="77777777" w:rsidR="00790180" w:rsidRDefault="00000000">
      <w:pPr>
        <w:pStyle w:val="ListBullet"/>
        <w:spacing w:after="44" w:line="247" w:lineRule="auto"/>
        <w:ind w:left="259" w:hanging="173"/>
      </w:pPr>
      <w:r>
        <w:rPr>
          <w:color w:val="222222"/>
        </w:rPr>
        <w:t>Matte fidelity: the predicted splines render closely to the clean artist alpha.</w:t>
      </w:r>
    </w:p>
    <w:p w14:paraId="358F69F7" w14:textId="77777777" w:rsidR="00790180" w:rsidRDefault="00000000">
      <w:pPr>
        <w:pStyle w:val="ListBullet"/>
        <w:spacing w:after="44" w:line="247" w:lineRule="auto"/>
        <w:ind w:left="259" w:hanging="173"/>
      </w:pPr>
      <w:r>
        <w:rPr>
          <w:color w:val="222222"/>
        </w:rPr>
        <w:t>Production structure: useful multi-shape breakdowns, reasonable point counts and stable Bézier handles.</w:t>
      </w:r>
    </w:p>
    <w:p w14:paraId="59E0E832" w14:textId="77777777" w:rsidR="00790180" w:rsidRDefault="00000000">
      <w:pPr>
        <w:pStyle w:val="ListBullet"/>
        <w:spacing w:after="44" w:line="247" w:lineRule="auto"/>
        <w:ind w:left="259" w:hanging="173"/>
      </w:pPr>
      <w:r>
        <w:rPr>
          <w:color w:val="222222"/>
        </w:rPr>
        <w:t>Temporal quality: smooth control-point trajectories with sparse keys at meaningful motion/pose changes.</w:t>
      </w:r>
    </w:p>
    <w:p w14:paraId="24389A3C" w14:textId="77777777" w:rsidR="00790180" w:rsidRDefault="00000000">
      <w:pPr>
        <w:pStyle w:val="ListBullet"/>
        <w:spacing w:after="44" w:line="247" w:lineRule="auto"/>
        <w:ind w:left="259" w:hanging="173"/>
      </w:pPr>
      <w:r>
        <w:rPr>
          <w:color w:val="222222"/>
        </w:rPr>
        <w:t>Recovery beyond the raster: when Slapshot misses visible detail, RGB conditioning recovers the artist-ground-truth structure rather than simply tracing the omission.</w:t>
      </w:r>
    </w:p>
    <w:p w14:paraId="2A81C1FF" w14:textId="77777777" w:rsidR="00790180" w:rsidRDefault="00000000">
      <w:pPr>
        <w:pStyle w:val="ListBullet"/>
        <w:spacing w:after="44" w:line="247" w:lineRule="auto"/>
        <w:ind w:left="259" w:hanging="173"/>
      </w:pPr>
      <w:r>
        <w:rPr>
          <w:color w:val="222222"/>
        </w:rPr>
        <w:t>Artist correction time: the decisive metric is how much work remains before a professional considers the spline file usable.</w:t>
      </w:r>
    </w:p>
    <w:p w14:paraId="4EFC1114" w14:textId="77777777" w:rsidR="00790180" w:rsidRDefault="00000000">
      <w:pPr>
        <w:pStyle w:val="Heading2"/>
      </w:pPr>
      <w:r>
        <w:t>Implementation mental model</w:t>
      </w:r>
    </w:p>
    <w:p w14:paraId="37280402" w14:textId="77777777" w:rsidR="00790180" w:rsidRDefault="00000000">
      <w:pPr>
        <w:rPr>
          <w:color w:val="222222"/>
        </w:rPr>
      </w:pPr>
      <w:r>
        <w:rPr>
          <w:color w:val="222222"/>
        </w:rPr>
        <w:t>There is no requirement for a giant foundation model to generate the splines. The current working direction is a compact custom trainable model built from familiar components: a matte/RGB visual encoder, VLM-derived semantic conditioning, a DETR-style set decoder for independent shapes, a DeepSVG-inspired per-shape spline/keyframe decoder, and DiffVG as a training loss. The deeper technical document goes into these components and permissive-license reference projects in detail.</w:t>
      </w:r>
    </w:p>
    <w:p w14:paraId="7E98CAFB" w14:textId="77777777" w:rsidR="00835C1B" w:rsidRDefault="00835C1B"/>
    <w:tbl>
      <w:tblPr>
        <w:tblW w:w="0" w:type="auto"/>
        <w:jc w:val="center"/>
        <w:tblLayout w:type="fixed"/>
        <w:tblLook w:val="04A0" w:firstRow="1" w:lastRow="0" w:firstColumn="1" w:lastColumn="0" w:noHBand="0" w:noVBand="1"/>
      </w:tblPr>
      <w:tblGrid>
        <w:gridCol w:w="9936"/>
      </w:tblGrid>
      <w:tr w:rsidR="00790180" w14:paraId="3634B223" w14:textId="77777777">
        <w:trPr>
          <w:jc w:val="center"/>
        </w:trPr>
        <w:tc>
          <w:tcPr>
            <w:tcW w:w="9936" w:type="dxa"/>
            <w:tcBorders>
              <w:top w:val="single" w:sz="5" w:space="0" w:color="AFC5D6"/>
              <w:left w:val="single" w:sz="5" w:space="0" w:color="AFC5D6"/>
              <w:bottom w:val="single" w:sz="5" w:space="0" w:color="AFC5D6"/>
              <w:right w:val="single" w:sz="5" w:space="0" w:color="AFC5D6"/>
            </w:tcBorders>
            <w:shd w:val="clear" w:color="auto" w:fill="EAF2F8"/>
            <w:tcMar>
              <w:top w:w="105" w:type="dxa"/>
              <w:left w:w="130" w:type="dxa"/>
              <w:bottom w:w="105" w:type="dxa"/>
              <w:right w:w="130" w:type="dxa"/>
            </w:tcMar>
          </w:tcPr>
          <w:p w14:paraId="152E8F1B" w14:textId="77777777" w:rsidR="00790180" w:rsidRDefault="00000000">
            <w:pPr>
              <w:spacing w:after="0"/>
            </w:pPr>
            <w:r>
              <w:rPr>
                <w:color w:val="17324D"/>
              </w:rPr>
              <w:t>The strategic bet is simple: Slapshot already knows how to propose the object as pixels. Our archive may let us learn the part the market largely lacks - how a professional roto artist turns that object into a clean, sparse, editable spline animation.</w:t>
            </w:r>
          </w:p>
        </w:tc>
      </w:tr>
    </w:tbl>
    <w:p w14:paraId="1EA2AC74" w14:textId="77777777" w:rsidR="00790180" w:rsidRDefault="00790180">
      <w:pPr>
        <w:spacing w:after="0"/>
      </w:pPr>
    </w:p>
    <w:sectPr w:rsidR="00790180" w:rsidSect="00034616">
      <w:headerReference w:type="default" r:id="rId10"/>
      <w:footerReference w:type="default" r:id="rId11"/>
      <w:pgSz w:w="12240" w:h="15840"/>
      <w:pgMar w:top="922" w:right="1037" w:bottom="922" w:left="1037" w:header="461"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AD0E" w14:textId="77777777" w:rsidR="00694092" w:rsidRDefault="00694092">
      <w:pPr>
        <w:spacing w:after="0" w:line="240" w:lineRule="auto"/>
      </w:pPr>
      <w:r>
        <w:separator/>
      </w:r>
    </w:p>
  </w:endnote>
  <w:endnote w:type="continuationSeparator" w:id="0">
    <w:p w14:paraId="06997624" w14:textId="77777777" w:rsidR="00694092" w:rsidRDefault="00694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09DB" w14:textId="77777777" w:rsidR="00F031A4" w:rsidRDefault="00000000">
    <w:pPr>
      <w:pStyle w:val="Footer"/>
      <w:jc w:val="center"/>
    </w:pPr>
    <w:r>
      <w:rPr>
        <w:color w:val="5F6978"/>
        <w:sz w:val="16"/>
      </w:rPr>
      <w:t xml:space="preserve">Spline Rotoscoping Primer  |  August 2026  |  </w:t>
    </w:r>
    <w:r>
      <w:rPr>
        <w:color w:val="5F6978"/>
        <w:sz w:val="16"/>
      </w:rPr>
      <w:fldChar w:fldCharType="begin"/>
    </w:r>
    <w:r>
      <w:instrText xml:space="preserve"> PAGE </w:instrText>
    </w:r>
    <w:r>
      <w:rPr>
        <w:color w:val="5F6978"/>
        <w:sz w:val="16"/>
      </w:rPr>
      <w:fldChar w:fldCharType="separate"/>
    </w:r>
    <w:r w:rsidR="00F43A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8E157" w14:textId="77777777" w:rsidR="00694092" w:rsidRDefault="00694092">
      <w:pPr>
        <w:spacing w:after="0" w:line="240" w:lineRule="auto"/>
      </w:pPr>
      <w:r>
        <w:separator/>
      </w:r>
    </w:p>
  </w:footnote>
  <w:footnote w:type="continuationSeparator" w:id="0">
    <w:p w14:paraId="5797B32B" w14:textId="77777777" w:rsidR="00694092" w:rsidRDefault="00694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9AC8" w14:textId="77777777" w:rsidR="00F031A4" w:rsidRDefault="00000000">
    <w:pPr>
      <w:pStyle w:val="SmallNote"/>
      <w:spacing w:after="0"/>
      <w:jc w:val="right"/>
    </w:pPr>
    <w:proofErr w:type="gramStart"/>
    <w:r>
      <w:rPr>
        <w:color w:val="5F6978"/>
        <w:sz w:val="16"/>
      </w:rPr>
      <w:t>SLAPSHOT  |</w:t>
    </w:r>
    <w:proofErr w:type="gramEnd"/>
    <w:r>
      <w:rPr>
        <w:color w:val="5F6978"/>
        <w:sz w:val="16"/>
      </w:rPr>
      <w:t xml:space="preserve">  INTERNAL TECHNICAL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22293">
    <w:abstractNumId w:val="8"/>
  </w:num>
  <w:num w:numId="2" w16cid:durableId="433787457">
    <w:abstractNumId w:val="6"/>
  </w:num>
  <w:num w:numId="3" w16cid:durableId="821392896">
    <w:abstractNumId w:val="5"/>
  </w:num>
  <w:num w:numId="4" w16cid:durableId="1999261046">
    <w:abstractNumId w:val="4"/>
  </w:num>
  <w:num w:numId="5" w16cid:durableId="473760938">
    <w:abstractNumId w:val="7"/>
  </w:num>
  <w:num w:numId="6" w16cid:durableId="286937468">
    <w:abstractNumId w:val="3"/>
  </w:num>
  <w:num w:numId="7" w16cid:durableId="344476919">
    <w:abstractNumId w:val="2"/>
  </w:num>
  <w:num w:numId="8" w16cid:durableId="835608739">
    <w:abstractNumId w:val="1"/>
  </w:num>
  <w:num w:numId="9" w16cid:durableId="47248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1D6"/>
    <w:rsid w:val="001E65AA"/>
    <w:rsid w:val="002823A4"/>
    <w:rsid w:val="0029639D"/>
    <w:rsid w:val="002E4D1F"/>
    <w:rsid w:val="00326F90"/>
    <w:rsid w:val="004641B0"/>
    <w:rsid w:val="00694092"/>
    <w:rsid w:val="00790180"/>
    <w:rsid w:val="007E17F3"/>
    <w:rsid w:val="00835C1B"/>
    <w:rsid w:val="008A5B46"/>
    <w:rsid w:val="00AA1D8D"/>
    <w:rsid w:val="00B47730"/>
    <w:rsid w:val="00CB0664"/>
    <w:rsid w:val="00D23F0B"/>
    <w:rsid w:val="00E85D48"/>
    <w:rsid w:val="00F031A4"/>
    <w:rsid w:val="00F43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772BD"/>
  <w14:defaultImageDpi w14:val="300"/>
  <w15:docId w15:val="{2ABBB361-8899-A744-8B3F-4A347F95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F69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80"/>
    </w:pPr>
    <w:rPr>
      <w:rFonts w:ascii="Aptos" w:hAnsi="Aptos"/>
      <w:color w:val="5F6B76"/>
      <w:sz w:val="25"/>
    </w:rPr>
  </w:style>
  <w:style w:type="paragraph" w:customStyle="1" w:styleId="SmallNote">
    <w:name w:val="Small Note"/>
    <w:pPr>
      <w:spacing w:after="80"/>
    </w:pPr>
    <w:rPr>
      <w:rFonts w:ascii="Aptos" w:hAnsi="Aptos"/>
      <w:color w:val="5F6B76"/>
      <w:sz w:val="18"/>
    </w:rPr>
  </w:style>
  <w:style w:type="paragraph" w:customStyle="1" w:styleId="CalloutHead">
    <w:name w:val="Callout Head"/>
    <w:pPr>
      <w:spacing w:after="80"/>
    </w:pPr>
    <w:rPr>
      <w:rFonts w:ascii="Aptos" w:hAnsi="Aptos"/>
      <w:b/>
      <w:color w:val="17324D"/>
      <w:sz w:val="21"/>
    </w:rPr>
  </w:style>
  <w:style w:type="paragraph" w:customStyle="1" w:styleId="Codeish">
    <w:name w:val="Codeish"/>
    <w:pPr>
      <w:spacing w:after="80"/>
    </w:pPr>
    <w:rPr>
      <w:rFonts w:ascii="Aptos Mono" w:hAnsi="Aptos Mono"/>
      <w:color w:val="17202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1066</Words>
  <Characters>5964</Characters>
  <Application>Microsoft Office Word</Application>
  <DocSecurity>0</DocSecurity>
  <Lines>125</Lines>
  <Paragraphs>65</Paragraphs>
  <ScaleCrop>false</ScaleCrop>
  <HeadingPairs>
    <vt:vector size="2" baseType="variant">
      <vt:variant>
        <vt:lpstr>Title</vt:lpstr>
      </vt:variant>
      <vt:variant>
        <vt:i4>1</vt:i4>
      </vt:variant>
    </vt:vector>
  </HeadingPairs>
  <TitlesOfParts>
    <vt:vector size="1" baseType="lpstr">
      <vt:lpstr>Learning Production Rotoscoping from Spline Data</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Production Rotoscoping from Spline Data</dc:title>
  <dc:subject>Context and technical direction for training an alpha-to-spline production rotoscoping model</dc:subject>
  <dc:creator>Slapshot</dc:creator>
  <cp:keywords>rotoscoping, spline, DiffVG, machine learning, inverse rendering</cp:keywords>
  <dc:description>generated by python-docx</dc:description>
  <cp:lastModifiedBy>Jon Mason</cp:lastModifiedBy>
  <cp:revision>7</cp:revision>
  <dcterms:created xsi:type="dcterms:W3CDTF">2013-12-23T23:15:00Z</dcterms:created>
  <dcterms:modified xsi:type="dcterms:W3CDTF">2026-08-24T23:39:00Z</dcterms:modified>
  <cp:category/>
</cp:coreProperties>
</file>