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60"/>
      </w:pPr>
      <w:r>
        <w:t>Learning Production Rotoscoping from Hotspring Spline Data</w:t>
      </w:r>
    </w:p>
    <w:p>
      <w:pPr>
        <w:pStyle w:val="Subtitle"/>
        <w:spacing w:after="180"/>
      </w:pPr>
      <w:r>
        <w:t>High-level technical primer: what the archive actually contains, what we should learn, and the first experiment</w:t>
      </w:r>
    </w:p>
    <w:tbl>
      <w:tblPr>
        <w:tblW w:type="auto" w:w="0"/>
        <w:jc w:val="center"/>
        <w:tblLayout w:type="fixed"/>
        <w:tblLook w:firstColumn="1" w:firstRow="1" w:lastColumn="0" w:lastRow="0" w:noHBand="0" w:noVBand="1" w:val="04A0"/>
      </w:tblPr>
      <w:tblGrid>
        <w:gridCol w:w="10166"/>
      </w:tblGrid>
      <w:tr>
        <w:trPr>
          <w:trHeight w:hRule="auto"/>
        </w:trPr>
        <w:tc>
          <w:tcPr>
            <w:tcW w:type="dxa" w:w="9936"/>
            <w:shd w:fill="EAF2F8"/>
            <w:tcBorders>
              <w:top w:val="single" w:sz="5" w:color="AFC5D6"/>
              <w:left w:val="single" w:sz="5" w:color="AFC5D6"/>
              <w:bottom w:val="single" w:sz="5" w:color="AFC5D6"/>
              <w:right w:val="single" w:sz="5" w:color="AFC5D6"/>
            </w:tcBorders>
            <w:tcMar>
              <w:top w:w="105" w:type="dxa"/>
              <w:start w:w="130" w:type="dxa"/>
              <w:bottom w:w="105" w:type="dxa"/>
              <w:end w:w="130" w:type="dxa"/>
            </w:tcMar>
          </w:tcPr>
          <w:p>
            <w:r>
              <w:t>Core idea. Slapshot Roto already gives us a strong raster alpha sequence. The opportunity is to learn the native production program a Hotspring roto artist would have built: structured B-spline shapes, layer motion, shape lifespans, and sparse keyframes - using alpha as the object guide, RGB as additional visual evidence, and Hotspring's historical archive as supervision.</w:t>
            </w:r>
          </w:p>
        </w:tc>
      </w:tr>
    </w:tbl>
    <w:p>
      <w:pPr>
        <w:spacing w:after="0"/>
      </w:pPr>
    </w:p>
    <w:p>
      <w:pPr>
        <w:pStyle w:val="Heading1"/>
      </w:pPr>
      <w:r>
        <w:t>1. The gap we are trying to close</w:t>
      </w:r>
    </w:p>
    <w:p>
      <w:pPr>
        <w:spacing w:after="80" w:line="252" w:lineRule="auto"/>
      </w:pPr>
      <w:r>
        <w:t>Professional rotoscoping is not just segmentation. Artists build a set of overlapping B-spline shapes, use a deliberately small number of points, organize those shapes into layers, and animate the result with sparse keyframes. Gross motion can be carried by tracked layer transforms while the spline points describe local deformation. The rendered result is an alpha matte, but the structured program behind it is what makes the work stable, editable, and production-ready.</w:t>
      </w:r>
    </w:p>
    <w:tbl>
      <w:tblPr>
        <w:tblW w:type="auto" w:w="0"/>
        <w:jc w:val="center"/>
        <w:tblLayout w:type="fixed"/>
        <w:tblLook w:firstColumn="1" w:firstRow="1" w:lastColumn="0" w:lastRow="0" w:noHBand="0" w:noVBand="1" w:val="04A0"/>
      </w:tblPr>
      <w:tblGrid>
        <w:gridCol w:w="5083"/>
        <w:gridCol w:w="5083"/>
      </w:tblGrid>
      <w:tr>
        <w:trPr>
          <w:trHeight w:hRule="auto"/>
        </w:trPr>
        <w:tc>
          <w:tcPr>
            <w:tcW w:type="dxa" w:w="5083"/>
            <w:tcMar>
              <w:top w:w="20" w:type="dxa"/>
              <w:start w:w="30" w:type="dxa"/>
              <w:bottom w:w="20" w:type="dxa"/>
              <w:end w:w="30" w:type="dxa"/>
            </w:tcMar>
            <w:tcBorders>
              <w:top w:val="nil"/>
              <w:left w:val="nil"/>
              <w:bottom w:val="nil"/>
              <w:right w:val="nil"/>
              <w:insideH w:val="nil"/>
              <w:insideV w:val="nil"/>
            </w:tcBorders>
          </w:tcPr>
          <w:p>
            <w:pPr>
              <w:spacing w:after="20"/>
              <w:jc w:val="center"/>
            </w:pPr>
            <w:r>
              <w:drawing>
                <wp:inline xmlns:a="http://schemas.openxmlformats.org/drawingml/2006/main" xmlns:pic="http://schemas.openxmlformats.org/drawingml/2006/picture">
                  <wp:extent cx="2944368" cy="103204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944368" cy="1032047"/>
                          </a:xfrm>
                          <a:prstGeom prst="rect"/>
                        </pic:spPr>
                      </pic:pic>
                    </a:graphicData>
                  </a:graphic>
                </wp:inline>
              </w:drawing>
            </w:r>
          </w:p>
        </w:tc>
        <w:tc>
          <w:tcPr>
            <w:tcW w:type="dxa" w:w="5083"/>
            <w:tcMar>
              <w:top w:w="20" w:type="dxa"/>
              <w:start w:w="30" w:type="dxa"/>
              <w:bottom w:w="20" w:type="dxa"/>
              <w:end w:w="30" w:type="dxa"/>
            </w:tcMar>
            <w:tcBorders>
              <w:top w:val="nil"/>
              <w:left w:val="nil"/>
              <w:bottom w:val="nil"/>
              <w:right w:val="nil"/>
              <w:insideH w:val="nil"/>
              <w:insideV w:val="nil"/>
            </w:tcBorders>
          </w:tcPr>
          <w:p>
            <w:pPr>
              <w:spacing w:after="20"/>
              <w:jc w:val="center"/>
            </w:pPr>
            <w:r>
              <w:drawing>
                <wp:inline xmlns:a="http://schemas.openxmlformats.org/drawingml/2006/main" xmlns:pic="http://schemas.openxmlformats.org/drawingml/2006/picture">
                  <wp:extent cx="2944368" cy="940984"/>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44368" cy="940984"/>
                          </a:xfrm>
                          <a:prstGeom prst="rect"/>
                        </pic:spPr>
                      </pic:pic>
                    </a:graphicData>
                  </a:graphic>
                </wp:inline>
              </w:drawing>
            </w:r>
          </w:p>
        </w:tc>
      </w:tr>
    </w:tbl>
    <w:p>
      <w:pPr>
        <w:spacing w:before="40" w:after="60"/>
        <w:jc w:val="center"/>
      </w:pPr>
      <w:r>
        <w:t>Left: the same alpha can come from a much richer artist-style shape breakdown. Right: simply vectorizing raster output tends to preserve jitter, blobs, and dense keys.</w:t>
      </w:r>
    </w:p>
    <w:p>
      <w:pPr>
        <w:pStyle w:val="Heading2"/>
      </w:pPr>
      <w:r>
        <w:t>Where Slapshot Roto fits</w:t>
      </w:r>
    </w:p>
    <w:p>
      <w:pPr>
        <w:spacing w:after="80" w:line="252" w:lineRule="auto"/>
      </w:pPr>
      <w:r>
        <w:t>Slapshot Roto solves the front half of the problem: it predicts which pixels belong to the target and produces an alpha sequence. What it does not contain is the artist representation behind that matte - decomposition, native B-spline point economy, layer transforms, shape lifespans, and sparse keyframe timing.</w:t>
      </w:r>
    </w:p>
    <w:p>
      <w:pPr>
        <w:pStyle w:val="ListBullet"/>
        <w:spacing w:after="44" w:line="247" w:lineRule="auto"/>
        <w:ind w:left="259" w:hanging="173"/>
      </w:pPr>
      <w:r>
        <w:t>Raster output can chatter frame to frame, and naive vectorization bakes that chatter into the spline animation.</w:t>
      </w:r>
    </w:p>
    <w:p>
      <w:pPr>
        <w:pStyle w:val="ListBullet"/>
        <w:spacing w:after="44" w:line="247" w:lineRule="auto"/>
        <w:ind w:left="259" w:hanging="173"/>
      </w:pPr>
      <w:r>
        <w:t>A combined alpha does not reveal how an artist would split an articulated element into independently moving shapes and layers.</w:t>
      </w:r>
    </w:p>
    <w:p>
      <w:pPr>
        <w:pStyle w:val="ListBullet"/>
        <w:spacing w:after="44" w:line="247" w:lineRule="auto"/>
        <w:ind w:left="259" w:hanging="173"/>
      </w:pPr>
      <w:r>
        <w:t>The alpha is also lossy: Slapshot can omit real plate detail such as fine hair, thin structures, or subtle boundaries.</w:t>
      </w:r>
    </w:p>
    <w:p>
      <w:r>
        <w:br w:type="page"/>
      </w:r>
    </w:p>
    <w:p>
      <w:pPr>
        <w:pStyle w:val="Heading1"/>
      </w:pPr>
      <w:r>
        <w:t>2. Why the Hotspring archive makes this learnable</w:t>
      </w:r>
    </w:p>
    <w:p>
      <w:pPr>
        <w:spacing w:after="80" w:line="252" w:lineRule="auto"/>
      </w:pPr>
      <w:r>
        <w:t>Hotspring's historical archive contains the hidden production representation, not only the matte it produces. The sample measured to date also tells us that we need to preserve that representation natively rather than flattening it into generic vector curves.</w:t>
      </w:r>
    </w:p>
    <w:tbl>
      <w:tblPr>
        <w:tblW w:type="auto" w:w="0"/>
        <w:jc w:val="center"/>
        <w:tblLayout w:type="fixed"/>
        <w:tblLook w:firstColumn="1" w:firstRow="1" w:lastColumn="0" w:lastRow="0" w:noHBand="0" w:noVBand="1" w:val="04A0"/>
      </w:tblPr>
      <w:tblGrid>
        <w:gridCol w:w="2541"/>
        <w:gridCol w:w="2541"/>
        <w:gridCol w:w="2541"/>
        <w:gridCol w:w="2541"/>
      </w:tblGrid>
      <w:tr>
        <w:trPr>
          <w:trHeight w:hRule="auto"/>
        </w:trPr>
        <w:tc>
          <w:tcPr>
            <w:tcW w:type="dxa" w:w="2541"/>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7"/>
              </w:rPr>
              <w:t>Native geometry</w:t>
              <w:br/>
              <w:t>1,604 / 1,604 sampled shapes are B-splines; no artist-authored Bézier handles</w:t>
            </w:r>
          </w:p>
        </w:tc>
        <w:tc>
          <w:tcPr>
            <w:tcW w:type="dxa" w:w="2541"/>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7"/>
              </w:rPr>
              <w:t>Motion hierarchy</w:t>
              <w:br/>
              <w:t>159 layers carry tracking matrices; 104 are animated, separating gross motion from local deformation</w:t>
            </w:r>
          </w:p>
        </w:tc>
        <w:tc>
          <w:tcPr>
            <w:tcW w:type="dxa" w:w="2541"/>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7"/>
              </w:rPr>
              <w:t>Shape lifespans</w:t>
              <w:br/>
              <w:t>720 / 1,604 shapes have opacity births/deaths that must be represented explicitly</w:t>
            </w:r>
          </w:p>
        </w:tc>
        <w:tc>
          <w:tcPr>
            <w:tcW w:type="dxa" w:w="2541"/>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7"/>
              </w:rPr>
              <w:t>Key economy</w:t>
              <w:br/>
              <w:t>Median ~7 keys per shape; Catmull-Rom interpolation carries motion between artist interventions</w:t>
            </w:r>
          </w:p>
        </w:tc>
      </w:tr>
    </w:tbl>
    <w:tbl>
      <w:tblPr>
        <w:tblW w:type="auto" w:w="0"/>
        <w:jc w:val="center"/>
        <w:tblLayout w:type="fixed"/>
        <w:tblLook w:firstColumn="1" w:firstRow="1" w:lastColumn="0" w:lastRow="0" w:noHBand="0" w:noVBand="1" w:val="04A0"/>
      </w:tblPr>
      <w:tblGrid>
        <w:gridCol w:w="10166"/>
      </w:tblGrid>
      <w:tr>
        <w:trPr>
          <w:trHeight w:hRule="auto"/>
        </w:trPr>
        <w:tc>
          <w:tcPr>
            <w:tcW w:type="dxa" w:w="9936"/>
            <w:shd w:fill="F3F7FA"/>
            <w:tcBorders>
              <w:top w:val="single" w:sz="5" w:color="AFC5D6"/>
              <w:left w:val="single" w:sz="5" w:color="AFC5D6"/>
              <w:bottom w:val="single" w:sz="5" w:color="AFC5D6"/>
              <w:right w:val="single" w:sz="5" w:color="AFC5D6"/>
            </w:tcBorders>
            <w:tcMar>
              <w:top w:w="105" w:type="dxa"/>
              <w:start w:w="130" w:type="dxa"/>
              <w:bottom w:w="105" w:type="dxa"/>
              <w:end w:w="130" w:type="dxa"/>
            </w:tcMar>
          </w:tcPr>
          <w:p>
            <w:r>
              <w:t>The important consequence: sparse production roto is a factorized program. A tracked layer transform carries large-scale motion; local B-spline keys carry residual deformation; shape visibility changes over time. If we collapse all of that into raw screen-space curve positions, the model is structurally pushed toward dense keying - the exact behavior we are trying to avoid.</w:t>
            </w:r>
          </w:p>
        </w:tc>
      </w:tr>
    </w:tbl>
    <w:p>
      <w:pPr>
        <w:spacing w:after="0"/>
      </w:pPr>
    </w:p>
    <w:p>
      <w:pPr>
        <w:pStyle w:val="Heading1"/>
      </w:pPr>
      <w:r>
        <w:t>3. The proposed model, at a high level</w:t>
      </w:r>
    </w:p>
    <w:p>
      <w:pPr>
        <w:spacing w:after="80" w:line="252" w:lineRule="auto"/>
      </w:pPr>
      <w:r>
        <w:t>The unit of inference should be an element, not an entire shot. Each element gives us a manageable set of shapes and an aligned Slapshot alpha sequence plus RGB image sequence. Alpha remains the strong geometric guide; RGB provides evidence for real detail or internal articulation that the raster prediction missed. We should also keep a matte-only path alive through modality dropout so the spline archive remains useful even where plate rights or availability limit RGB training.</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rHeight w:hRule="auto"/>
        </w:trPr>
        <w:tc>
          <w:tcPr>
            <w:tcW w:type="dxa" w:w="1829"/>
            <w:shd w:fill="EAF2F8"/>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5"/>
              </w:rPr>
              <w:t>Element</w:t>
              <w:br/>
              <w:t>alpha + RGB</w:t>
              <w:br/>
              <w:t>(RGB optional)</w:t>
            </w:r>
          </w:p>
        </w:tc>
        <w:tc>
          <w:tcPr>
            <w:tcW w:type="dxa" w:w="360"/>
            <w:tcMar>
              <w:top w:w="100" w:type="dxa"/>
              <w:start w:w="0" w:type="dxa"/>
              <w:bottom w:w="100" w:type="dxa"/>
              <w:end w:w="0" w:type="dxa"/>
            </w:tcMar>
            <w:vAlign w:val="center"/>
          </w:tcPr>
          <w:p>
            <w:pPr>
              <w:jc w:val="center"/>
            </w:pPr>
            <w:r>
              <w:rPr>
                <w:sz w:val="22"/>
              </w:rPr>
              <w:t>→</w:t>
            </w:r>
          </w:p>
        </w:tc>
        <w:tc>
          <w:tcPr>
            <w:tcW w:type="dxa" w:w="1829"/>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5"/>
              </w:rPr>
              <w:t>Visual encoder</w:t>
              <w:br/>
              <w:t>Fuses matte geometry, motion and RGB detail</w:t>
            </w:r>
          </w:p>
        </w:tc>
        <w:tc>
          <w:tcPr>
            <w:tcW w:type="dxa" w:w="360"/>
            <w:tcMar>
              <w:top w:w="100" w:type="dxa"/>
              <w:start w:w="0" w:type="dxa"/>
              <w:bottom w:w="100" w:type="dxa"/>
              <w:end w:w="0" w:type="dxa"/>
            </w:tcMar>
            <w:vAlign w:val="center"/>
          </w:tcPr>
          <w:p>
            <w:pPr>
              <w:jc w:val="center"/>
            </w:pPr>
            <w:r>
              <w:rPr>
                <w:sz w:val="22"/>
              </w:rPr>
              <w:t>→</w:t>
            </w:r>
          </w:p>
        </w:tc>
        <w:tc>
          <w:tcPr>
            <w:tcW w:type="dxa" w:w="1829"/>
            <w:shd w:fill="F6E8B1"/>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5"/>
              </w:rPr>
              <w:t>Optional semantics</w:t>
              <w:br/>
              <w:t>Layer names first; VLM as an ablation</w:t>
            </w:r>
          </w:p>
        </w:tc>
        <w:tc>
          <w:tcPr>
            <w:tcW w:type="dxa" w:w="360"/>
            <w:tcMar>
              <w:top w:w="100" w:type="dxa"/>
              <w:start w:w="0" w:type="dxa"/>
              <w:bottom w:w="100" w:type="dxa"/>
              <w:end w:w="0" w:type="dxa"/>
            </w:tcMar>
            <w:vAlign w:val="center"/>
          </w:tcPr>
          <w:p>
            <w:pPr>
              <w:jc w:val="center"/>
            </w:pPr>
            <w:r>
              <w:rPr>
                <w:sz w:val="22"/>
              </w:rPr>
              <w:t>→</w:t>
            </w:r>
          </w:p>
        </w:tc>
        <w:tc>
          <w:tcPr>
            <w:tcW w:type="dxa" w:w="1829"/>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5"/>
              </w:rPr>
              <w:t>Roto decoder</w:t>
              <w:br/>
              <w:t>Layer transforms + lifespans + native B-splines + sparse keys</w:t>
            </w:r>
          </w:p>
        </w:tc>
        <w:tc>
          <w:tcPr>
            <w:tcW w:type="dxa" w:w="360"/>
            <w:tcMar>
              <w:top w:w="100" w:type="dxa"/>
              <w:start w:w="0" w:type="dxa"/>
              <w:bottom w:w="100" w:type="dxa"/>
              <w:end w:w="0" w:type="dxa"/>
            </w:tcMar>
            <w:vAlign w:val="center"/>
          </w:tcPr>
          <w:p>
            <w:pPr>
              <w:jc w:val="center"/>
            </w:pPr>
            <w:r>
              <w:rPr>
                <w:sz w:val="22"/>
              </w:rPr>
              <w:t>→</w:t>
            </w:r>
          </w:p>
        </w:tc>
        <w:tc>
          <w:tcPr>
            <w:tcW w:type="dxa" w:w="1656"/>
            <w:shd w:fill="EAF3E7"/>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5"/>
              </w:rPr>
              <w:t>Editable roto</w:t>
              <w:br/>
              <w:t>Native program</w:t>
            </w:r>
          </w:p>
        </w:tc>
      </w:tr>
    </w:tbl>
    <w:p>
      <w:pPr>
        <w:spacing w:after="100" w:line="252" w:lineRule="auto"/>
      </w:pPr>
      <w:r>
        <w:t>Semantic conditioning is plausible but should not sit on the critical path. A person, basketball, cloth layer, hair mass, or rigid prop should learn different priors, but Hotspring's existing layer names already give us free weak labels. Train the model with conditioning dropout so it works without semantics; then test whether an offline VLM pass that enriches those labels produces measurable uplift.</w:t>
      </w:r>
    </w:p>
    <w:p>
      <w:pPr>
        <w:pStyle w:val="Heading2"/>
      </w:pPr>
      <w:r>
        <w:t>What actually learns</w:t>
      </w:r>
    </w:p>
    <w:p>
      <w:pPr>
        <w:spacing w:after="80" w:line="252" w:lineRule="auto"/>
      </w:pPr>
      <w:r>
        <w:t>A compact trainable encoder/decoder learns the mapping from element inputs to the native Hotspring roto program: layer transform tracks, B-spline points, shape visibility/lifespans, and sparse local deformation keys. DiffVG is not the learning model. At training time, predicted B-splines are converted exactly into cubic Bezier segments for DiffVG, rendered to alpha, and compared with the clean artist render. Once the model is generating its own breakdown, this full rendered-element loss is the main test of visual correctness because it does not require the prediction to use the exact same shape decomposition as the historical artist. Representation stays in artist space; Bezier conversion exists only at the renderer boundary.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rHeight w:hRule="auto"/>
        </w:trPr>
        <w:tc>
          <w:tcPr>
            <w:tcW w:type="dxa" w:w="2033"/>
            <w:shd w:fill="F5F8FA"/>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6"/>
              </w:rPr>
              <w:t>Predicted native B-spline program</w:t>
              <w:br/>
              <w:t>artist representation</w:t>
            </w:r>
          </w:p>
        </w:tc>
        <w:tc>
          <w:tcPr>
            <w:tcW w:type="dxa" w:w="2033"/>
            <w:vAlign w:val="center"/>
          </w:tcPr>
          <w:p>
            <w:pPr>
              <w:jc w:val="center"/>
            </w:pPr>
            <w:r>
              <w:rPr>
                <w:sz w:val="16"/>
              </w:rPr>
              <w:t>→</w:t>
            </w:r>
          </w:p>
        </w:tc>
        <w:tc>
          <w:tcPr>
            <w:tcW w:type="dxa" w:w="2033"/>
            <w:shd w:fill="EAF2F8"/>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6"/>
              </w:rPr>
              <w:t>Exact Bézier conversion + DiffVG</w:t>
              <w:br/>
              <w:t>training render only</w:t>
            </w:r>
          </w:p>
        </w:tc>
        <w:tc>
          <w:tcPr>
            <w:tcW w:type="dxa" w:w="2033"/>
            <w:vAlign w:val="center"/>
          </w:tcPr>
          <w:p>
            <w:pPr>
              <w:jc w:val="center"/>
            </w:pPr>
            <w:r>
              <w:rPr>
                <w:sz w:val="16"/>
              </w:rPr>
              <w:t>→</w:t>
            </w:r>
          </w:p>
        </w:tc>
        <w:tc>
          <w:tcPr>
            <w:tcW w:type="dxa" w:w="2033"/>
            <w:shd w:fill="EAF3E7"/>
            <w:tcBorders>
              <w:top w:val="single" w:sz="5" w:color="B9CBD8"/>
              <w:left w:val="single" w:sz="5" w:color="B9CBD8"/>
              <w:bottom w:val="single" w:sz="5" w:color="B9CBD8"/>
              <w:right w:val="single" w:sz="5" w:color="B9CBD8"/>
            </w:tcBorders>
            <w:tcMar>
              <w:top w:w="100" w:type="dxa"/>
              <w:start w:w="80" w:type="dxa"/>
              <w:bottom w:w="100" w:type="dxa"/>
              <w:end w:w="80" w:type="dxa"/>
            </w:tcMar>
            <w:vAlign w:val="center"/>
          </w:tcPr>
          <w:p>
            <w:pPr>
              <w:jc w:val="center"/>
            </w:pPr>
            <w:r>
              <w:rPr>
                <w:sz w:val="16"/>
              </w:rPr>
              <w:t>Clean artist alpha</w:t>
              <w:br/>
              <w:t>raster fidelity target</w:t>
            </w:r>
          </w:p>
        </w:tc>
      </w:tr>
    </w:tbl>
    <w:tbl>
      <w:tblPr>
        <w:tblW w:type="auto" w:w="0"/>
        <w:jc w:val="center"/>
        <w:tblLayout w:type="fixed"/>
        <w:tblLook w:firstColumn="1" w:firstRow="1" w:lastColumn="0" w:lastRow="0" w:noHBand="0" w:noVBand="1" w:val="04A0"/>
      </w:tblPr>
      <w:tblGrid>
        <w:gridCol w:w="10166"/>
      </w:tblGrid>
      <w:tr>
        <w:trPr>
          <w:trHeight w:hRule="auto"/>
        </w:trPr>
        <w:tc>
          <w:tcPr>
            <w:tcW w:type="dxa" w:w="9936"/>
            <w:shd w:fill="FFF7E2"/>
            <w:tcBorders>
              <w:top w:val="single" w:sz="5" w:color="AFC5D6"/>
              <w:left w:val="single" w:sz="5" w:color="AFC5D6"/>
              <w:bottom w:val="single" w:sz="5" w:color="AFC5D6"/>
              <w:right w:val="single" w:sz="5" w:color="AFC5D6"/>
            </w:tcBorders>
            <w:tcMar>
              <w:top w:w="105" w:type="dxa"/>
              <w:start w:w="130" w:type="dxa"/>
              <w:bottom w:w="105" w:type="dxa"/>
              <w:end w:w="130" w:type="dxa"/>
            </w:tcMar>
          </w:tcPr>
          <w:p>
            <w:r>
              <w:t>Important: when the input alpha comes from Slapshot inference, the raster loss still compares the prediction to the clean alpha rendered from the historical artist splines - never to the imperfect Slapshot input. Otherwise we teach the model to reproduce the artifacts we want it to remove.</w:t>
            </w:r>
          </w:p>
        </w:tc>
      </w:tr>
    </w:tbl>
    <w:p>
      <w:pPr>
        <w:pStyle w:val="Heading2"/>
        <w:spacing w:after="0"/>
      </w:pPr>
      <w:r>
        <w:t>The research-grade problem: keyframe timing</w:t>
      </w:r>
    </w:p>
    <w:p>
      <w:pPr/>
      <w:r>
        <w:t>Predicting where to key is a discrete, sparse decision. The model cannot be judged only at keyframes: the render loss must also be evaluated at non-key frames after the same Catmull-Rom interpolation used by the archive. Otherwise it can place keys that fit sampled frames but drift between them. Learning “few keys, placed where an artist would intervene, with correct interpolation between them” is likely the hardest ML part of the project.</w:t>
      </w:r>
    </w:p>
    <w:p>
      <w:pPr>
        <w:pStyle w:val="Heading1"/>
      </w:pPr>
      <w:r>
        <w:t>4. The first experiment</w:t>
      </w:r>
    </w:p>
    <w:p>
      <w:pPr>
        <w:spacing w:after="80" w:line="252" w:lineRule="auto"/>
      </w:pPr>
      <w:r>
        <w:t>We should prove the idea on a representative set of Hotspring elements before processing the full archive. The first milestone is not unconstrained RGB-to-roto autonomy; it is evidence that the native production representation is learnable and materially better than per-frame vectorization.</w:t>
      </w:r>
    </w:p>
    <w:p>
      <w:pPr>
        <w:spacing w:after="80" w:line="247" w:lineRule="auto"/>
        <w:ind w:left="346" w:hanging="346"/>
      </w:pPr>
      <w:r>
        <w:t>1. Define the native roto IR and renderer. Preserve B-spline points/shape type, layer hierarchy and tracking matrices, shape opacity/lifespans, keyframes, and Catmull-Rom temporal interpolation. Verify reliable parse → IR → production-equivalent render round-tripping.</w:t>
      </w:r>
    </w:p>
    <w:p>
      <w:pPr>
        <w:spacing w:after="80" w:line="247" w:lineRule="auto"/>
        <w:ind w:left="346" w:hanging="346"/>
      </w:pPr>
      <w:r>
        <w:t>2. Tier 1 - use a subset of Hotspring's archive at the element level. Train on clean artist alpha + RGB with the native historical spline program as target. Keep an alpha-only ablation in the same training setup by dropping the RGB branch on a controlled share of examples.</w:t>
      </w:r>
    </w:p>
    <w:p>
      <w:pPr>
        <w:spacing w:after="80" w:line="247" w:lineRule="auto"/>
        <w:ind w:left="346" w:hanging="346"/>
      </w:pPr>
      <w:r>
        <w:t>3. Teacher-force the easiest task first. Supply the historical shape breakdown/layer assignment (and, if useful, reference-frame geometry) and first learn local animation, lifespans, transforms, and sparse keying. Shape identity is known in this stage, so we can use direct per-shape supervision without any assignment problem. Then progressively remove those inputs until the model must infer the full decomposition itself.</w:t>
      </w:r>
    </w:p>
    <w:p>
      <w:pPr>
        <w:spacing w:after="80" w:line="247" w:lineRule="auto"/>
        <w:ind w:left="346" w:hanging="346"/>
      </w:pPr>
      <w:r>
        <w:t>4. Tier 2 - align training with deployment. Run the corresponding historical RGB sequences through Slapshot Roto and train on RGB + predicted Slapshot alpha → the original Hotspring artist program. This teaches the model to remove our real inference artifacts while recovering visible detail from RGB when it is available.</w:t>
      </w:r>
    </w:p>
    <w:p>
      <w:pPr>
        <w:pStyle w:val="Heading1"/>
      </w:pPr>
      <w:r>
        <w:t>5. What success looks like</w:t>
      </w:r>
    </w:p>
    <w:p>
      <w:pPr>
        <w:pStyle w:val="ListBullet"/>
        <w:spacing w:after="44" w:line="247" w:lineRule="auto"/>
        <w:ind w:left="259" w:hanging="173"/>
      </w:pPr>
      <w:r>
        <w:t>Matte fidelity: the predicted program renders closely to the clean artist alpha, including at non-key frames.</w:t>
      </w:r>
    </w:p>
    <w:p>
      <w:pPr>
        <w:pStyle w:val="ListBullet"/>
        <w:spacing w:after="44" w:line="247" w:lineRule="auto"/>
        <w:ind w:left="259" w:hanging="173"/>
      </w:pPr>
      <w:r>
        <w:t>Native production structure: sensible breakdowns, economical B-spline point counts, layer transforms/hierarchy, and correct shape lifespans.</w:t>
      </w:r>
    </w:p>
    <w:p>
      <w:pPr>
        <w:pStyle w:val="ListBullet"/>
        <w:spacing w:after="44" w:line="247" w:lineRule="auto"/>
        <w:ind w:left="259" w:hanging="173"/>
      </w:pPr>
      <w:r>
        <w:t>Temporal/key economy: gross motion is carried by transforms where appropriate, with sparse local keys and low drift under Catmull-Rom interpolation.</w:t>
      </w:r>
    </w:p>
    <w:p>
      <w:pPr>
        <w:pStyle w:val="ListBullet"/>
        <w:spacing w:after="44" w:line="247" w:lineRule="auto"/>
        <w:ind w:left="259" w:hanging="173"/>
      </w:pPr>
      <w:r>
        <w:t>Recovery beyond the raster: RGB improves missed visible detail, while the matte-only ablation remains useful when RGB is unavailable.</w:t>
      </w:r>
    </w:p>
    <w:p>
      <w:pPr>
        <w:pStyle w:val="ListBullet"/>
        <w:spacing w:after="44" w:line="247" w:lineRule="auto"/>
        <w:ind w:left="259" w:hanging="173"/>
      </w:pPr>
      <w:r>
        <w:t>Artist correction time: the decisive metric is how much work remains before a professional considers the element usable.</w:t>
      </w:r>
    </w:p>
    <w:p>
      <w:pPr>
        <w:pStyle w:val="Heading2"/>
        <w:spacing w:before="80" w:after="40"/>
      </w:pPr>
      <w:r>
        <w:t>Implementation mental model</w:t>
      </w:r>
    </w:p>
    <w:p>
      <w:pPr>
        <w:spacing w:after="0" w:line="240" w:lineRule="auto" w:before="0"/>
      </w:pPr>
      <w:r>
        <w:t>Working direction: compact element-level encoder + hierarchical autoregressive roto decoder. Teacher-forced stages use direct per-shape supervision; once decomposition is free, avoid one-to-one shape matching and judge visual correctness with the complete DiffVG render, allowing autoregression to commit to one coherent breakdown. DETR/Hungarian remains only as an optional ablation.</w:t>
      </w:r>
    </w:p>
    <w:sectPr w:rsidR="00F031A4" w:rsidSect="00034616">
      <w:headerReference w:type="default" r:id="rId21"/>
      <w:footerReference w:type="default" r:id="rId22"/>
      <w:pgSz w:w="12240" w:h="15840"/>
      <w:pgMar w:top="922" w:right="1037" w:bottom="922" w:left="1037" w:header="461"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0BF4" w14:textId="77777777" w:rsidR="008A5B46" w:rsidRDefault="008A5B46">
      <w:pPr>
        <w:spacing w:after="0" w:line="240" w:lineRule="auto"/>
      </w:pPr>
      <w:r>
        <w:separator/>
      </w:r>
    </w:p>
  </w:endnote>
  <w:endnote w:type="continuationSeparator" w:id="0">
    <w:p w14:paraId="31E892FE" w14:textId="77777777" w:rsidR="008A5B46" w:rsidRDefault="008A5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D40C" w14:textId="77777777" w:rsidR="00F031A4" w:rsidRDefault="00000000">
    <w:pPr>
      <w:pStyle w:val="Footer"/>
      <w:jc w:val="center"/>
    </w:pPr>
    <w:r>
      <w:rPr>
        <w:rFonts w:ascii="Aptos" w:hAnsi="Aptos"/>
        <w:color w:val="5F6978"/>
        <w:sz w:val="16"/>
      </w:rPr>
      <w:t xml:space="preserve">Spline Rotoscoping Primer  |  August 2026  |  </w:t>
    </w:r>
    <w:r>
      <w:rPr>
        <w:color w:val="5F6978"/>
        <w:sz w:val="16"/>
      </w:rP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2E723" w14:textId="77777777" w:rsidR="008A5B46" w:rsidRDefault="008A5B46">
      <w:pPr>
        <w:spacing w:after="0" w:line="240" w:lineRule="auto"/>
      </w:pPr>
      <w:r>
        <w:separator/>
      </w:r>
    </w:p>
  </w:footnote>
  <w:footnote w:type="continuationSeparator" w:id="0">
    <w:p w14:paraId="0B13112B" w14:textId="77777777" w:rsidR="008A5B46" w:rsidRDefault="008A5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EE92" w14:textId="77777777" w:rsidR="00F031A4" w:rsidRDefault="00000000">
    <w:pPr>
      <w:pStyle w:val="SmallNote"/>
      <w:spacing w:after="0"/>
      <w:jc w:val="right"/>
    </w:pPr>
    <w:proofErr w:type="gramStart"/>
    <w:r>
      <w:rPr>
        <w:rFonts w:ascii="Aptos" w:hAnsi="Aptos"/>
        <w:color w:val="5F6978"/>
        <w:sz w:val="16"/>
      </w:rPr>
      <w:t>SLAPSHOT  |</w:t>
    </w:r>
    <w:proofErr w:type="gramEnd"/>
    <w:r>
      <w:rPr>
        <w:rFonts w:ascii="Aptos" w:hAnsi="Aptos"/>
        <w:color w:val="5F6978"/>
        <w:sz w:val="16"/>
      </w:rPr>
      <w:t xml:space="preserve">  INTERNAL TECHNICAL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22293">
    <w:abstractNumId w:val="8"/>
  </w:num>
  <w:num w:numId="2" w16cid:durableId="433787457">
    <w:abstractNumId w:val="6"/>
  </w:num>
  <w:num w:numId="3" w16cid:durableId="821392896">
    <w:abstractNumId w:val="5"/>
  </w:num>
  <w:num w:numId="4" w16cid:durableId="1999261046">
    <w:abstractNumId w:val="4"/>
  </w:num>
  <w:num w:numId="5" w16cid:durableId="473760938">
    <w:abstractNumId w:val="7"/>
  </w:num>
  <w:num w:numId="6" w16cid:durableId="286937468">
    <w:abstractNumId w:val="3"/>
  </w:num>
  <w:num w:numId="7" w16cid:durableId="344476919">
    <w:abstractNumId w:val="2"/>
  </w:num>
  <w:num w:numId="8" w16cid:durableId="835608739">
    <w:abstractNumId w:val="1"/>
  </w:num>
  <w:num w:numId="9" w16cid:durableId="47248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5AA"/>
    <w:rsid w:val="0029639D"/>
    <w:rsid w:val="00326F90"/>
    <w:rsid w:val="008A5B46"/>
    <w:rsid w:val="00AA1D8D"/>
    <w:rsid w:val="00B47730"/>
    <w:rsid w:val="00CB0664"/>
    <w:rsid w:val="00D23F0B"/>
    <w:rsid w:val="00F03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00478"/>
  <w14:defaultImageDpi w14:val="300"/>
  <w15:docId w15:val="{2ABBB361-8899-A744-8B3F-4A347F95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F69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80"/>
    </w:pPr>
    <w:rPr>
      <w:rFonts w:ascii="Aptos" w:hAnsi="Aptos"/>
      <w:color w:val="5F6B76"/>
      <w:sz w:val="25"/>
    </w:rPr>
  </w:style>
  <w:style w:type="paragraph" w:customStyle="1" w:styleId="SmallNote">
    <w:name w:val="Small Note"/>
    <w:pPr>
      <w:spacing w:after="80"/>
    </w:pPr>
    <w:rPr>
      <w:rFonts w:ascii="Aptos" w:hAnsi="Aptos"/>
      <w:color w:val="5F6B76"/>
      <w:sz w:val="18"/>
    </w:rPr>
  </w:style>
  <w:style w:type="paragraph" w:customStyle="1" w:styleId="CalloutHead">
    <w:name w:val="Callout Head"/>
    <w:pPr>
      <w:spacing w:after="80"/>
    </w:pPr>
    <w:rPr>
      <w:rFonts w:ascii="Aptos" w:hAnsi="Aptos"/>
      <w:b/>
      <w:color w:val="17324D"/>
      <w:sz w:val="21"/>
    </w:rPr>
  </w:style>
  <w:style w:type="paragraph" w:customStyle="1" w:styleId="Codeish">
    <w:name w:val="Codeish"/>
    <w:pPr>
      <w:spacing w:after="80"/>
    </w:pPr>
    <w:rPr>
      <w:rFonts w:ascii="Aptos Mono" w:hAnsi="Aptos Mono"/>
      <w:color w:val="17202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acebookresearch/slowfast" TargetMode="External"/><Relationship Id="rId18" Type="http://schemas.openxmlformats.org/officeDocument/2006/relationships/hyperlink" Target="https://github.com/facebookresearch/sam3/blob/main/LICENS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pytorch/pytorch" TargetMode="External"/><Relationship Id="rId17" Type="http://schemas.openxmlformats.org/officeDocument/2006/relationships/hyperlink" Target="https://github.com/scipy/scipy" TargetMode="External"/><Relationship Id="rId2" Type="http://schemas.openxmlformats.org/officeDocument/2006/relationships/numbering" Target="numbering.xml"/><Relationship Id="rId16" Type="http://schemas.openxmlformats.org/officeDocument/2006/relationships/hyperlink" Target="https://github.com/BachiLi/diffvg" TargetMode="External"/><Relationship Id="rId20" Type="http://schemas.openxmlformats.org/officeDocument/2006/relationships/hyperlink" Target="https://borisfx.com/blog/what-is-rotoscope-animation-history-how-used-tod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isfx.com/blog/what-is-rotoscope-animation-history-how-used-toda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alexandre01/deepsvg" TargetMode="External"/><Relationship Id="rId23" Type="http://schemas.openxmlformats.org/officeDocument/2006/relationships/fontTable" Target="fontTable.xml"/><Relationship Id="rId10" Type="http://schemas.openxmlformats.org/officeDocument/2006/relationships/hyperlink" Target="https://www.fxguide.com/fxfeatured/the-art-of-roto-2011/" TargetMode="External"/><Relationship Id="rId19" Type="http://schemas.openxmlformats.org/officeDocument/2006/relationships/hyperlink" Target="https://www.fxguide.com/fxfeatured/the-art-of-roto-20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acebookresearch/det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3586</Words>
  <Characters>20982</Characters>
  <Application>Microsoft Office Word</Application>
  <DocSecurity>0</DocSecurity>
  <Lines>361</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Production Rotoscoping from Spline Data</dc:title>
  <dc:subject>Context and technical direction for training an alpha-to-spline production rotoscoping model</dc:subject>
  <dc:creator>Slapshot</dc:creator>
  <cp:keywords>rotoscoping, spline, DiffVG, machine learning, inverse rendering</cp:keywords>
  <dc:description>generated by python-docx</dc:description>
  <cp:lastModifiedBy>Jon Mason</cp:lastModifiedBy>
  <cp:revision>2</cp:revision>
  <dcterms:created xsi:type="dcterms:W3CDTF">2013-12-23T23:15:00Z</dcterms:created>
  <dcterms:modified xsi:type="dcterms:W3CDTF">2026-08-24T21:40:00Z</dcterms:modified>
  <cp:category/>
</cp:coreProperties>
</file>