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0422D" w14:textId="77777777" w:rsidR="00F031A4" w:rsidRDefault="00000000">
      <w:pPr>
        <w:pStyle w:val="Title"/>
      </w:pPr>
      <w:r>
        <w:t>Learning Production Rotoscoping from Hotspring Spline Data</w:t>
      </w:r>
    </w:p>
    <w:p w14:paraId="41176BC0" w14:textId="77777777" w:rsidR="00F031A4" w:rsidRDefault="00000000">
      <w:pPr>
        <w:pStyle w:val="Subtitle2"/>
      </w:pPr>
      <w:r>
        <w:t>Detailed technical direction for an element-level alpha + RGB-to-native-spline model</w:t>
      </w:r>
    </w:p>
    <w:p w14:paraId="3A8D6F74" w14:textId="77777777" w:rsidR="00F031A4" w:rsidRDefault="00000000">
      <w:pPr>
        <w:pStyle w:val="SmallNote"/>
      </w:pPr>
      <w:r>
        <w:t>Internal implementation context  |  August 24, 2026</w:t>
      </w:r>
    </w:p>
    <w:p w14:paraId="5EF992A6" w14:textId="77777777" w:rsidR="00F031A4" w:rsidRDefault="00F031A4"/>
    <w:p w14:paraId="277BDE85" w14:textId="77777777" w:rsidR="00F031A4" w:rsidRDefault="00000000">
      <w:r>
        <w:t>Purpose. This note explains the gap between the raster alpha sequences we already generate with Slapshot Roto and the editable spline representation used by professional roto artists; what is uniquely valuable in Hotspring's historical spline archive; and a practical plan to train a model that uses Slapshot alpha, the original RGB sequence where available, and the archive's native production structure to recover editable roto.</w:t>
      </w:r>
    </w:p>
    <w:p w14:paraId="56146397" w14:textId="77777777" w:rsidR="00F031A4" w:rsidRDefault="00000000">
      <w:pPr>
        <w:pStyle w:val="Heading1"/>
        <w:spacing w:before="200" w:after="80"/>
      </w:pPr>
      <w:r>
        <w:t>1. How professional rotoscoping is actually done</w:t>
      </w:r>
    </w:p>
    <w:p w14:paraId="673D7870" w14:textId="77777777" w:rsidR="00F031A4" w:rsidRDefault="00000000">
      <w:r>
        <w:t>Professional roto is a structured vector-animation task, not simply frame-by-frame segmentation. In the Hotspring archive we measured, artists work in native B-spline shapes organized into layers, with sparse shape keys, tracked layer transforms, and explicit shape visibility over time. The rendered result is an alpha matte, but the structured program behind that matte is what makes the work stable, editable, and useful in production.</w:t>
      </w:r>
    </w:p>
    <w:p w14:paraId="3C423FB2" w14:textId="77777777" w:rsidR="00F031A4" w:rsidRDefault="00000000">
      <w:pPr>
        <w:pStyle w:val="Heading2"/>
        <w:spacing w:before="140"/>
      </w:pPr>
      <w:r>
        <w:t>Shape breakdown</w:t>
      </w:r>
    </w:p>
    <w:p w14:paraId="549275CA" w14:textId="77777777" w:rsidR="00F031A4" w:rsidRDefault="00000000">
      <w:r>
        <w:t>A complex subject is usually decomposed according to articulation and motion rather than traced as one large outline. A person may be broken into a head, torso, upper arms, forearms, hands, thighs, lower legs, clothing elements, hair, and other independently moving regions. Those shapes can live inside tracked layers so gross motion is separated from local contour deformation.</w:t>
      </w:r>
    </w:p>
    <w:p w14:paraId="11BDB654" w14:textId="77777777" w:rsidR="00F031A4" w:rsidRDefault="00000000">
      <w:pPr>
        <w:pStyle w:val="ListBullet"/>
      </w:pPr>
      <w:r>
        <w:t>Each spline uses a deliberately small number of native B-spline control points so the curve is clean and easy to edit.</w:t>
      </w:r>
    </w:p>
    <w:p w14:paraId="3608763B" w14:textId="77777777" w:rsidR="00F031A4" w:rsidRDefault="00000000">
      <w:pPr>
        <w:pStyle w:val="ListBullet"/>
      </w:pPr>
      <w:r>
        <w:t>Control points are placed to follow meaningful contour structure rather than every local pixel variation; the archive does not contain artist-authored Bézier handles.</w:t>
      </w:r>
    </w:p>
    <w:p w14:paraId="7DAC745F" w14:textId="77777777" w:rsidR="00F031A4" w:rsidRDefault="00000000">
      <w:pPr>
        <w:pStyle w:val="ListBullet"/>
      </w:pPr>
      <w:r>
        <w:t>Independent shapes and layers allow articulated parts to move separately while maintaining a stable combined silhouette.</w:t>
      </w:r>
    </w:p>
    <w:p w14:paraId="5BF95087" w14:textId="77777777" w:rsidR="00F031A4" w:rsidRDefault="00000000">
      <w:pPr>
        <w:pStyle w:val="ListBullet"/>
      </w:pPr>
      <w:r>
        <w:t>The quality of the breakdown matters even when multiple different native spline constructions could render almost the same alpha.</w:t>
      </w:r>
    </w:p>
    <w:tbl>
      <w:tblPr>
        <w:tblW w:w="0" w:type="auto"/>
        <w:jc w:val="center"/>
        <w:tblLayout w:type="fixed"/>
        <w:tblLook w:val="04A0" w:firstRow="1" w:lastRow="0" w:firstColumn="1" w:lastColumn="0" w:noHBand="0" w:noVBand="1"/>
      </w:tblPr>
      <w:tblGrid>
        <w:gridCol w:w="4968"/>
        <w:gridCol w:w="4968"/>
      </w:tblGrid>
      <w:tr w:rsidR="00F031A4" w14:paraId="6652D544" w14:textId="77777777">
        <w:trPr>
          <w:jc w:val="center"/>
        </w:trPr>
        <w:tc>
          <w:tcPr>
            <w:tcW w:w="4968" w:type="dxa"/>
            <w:tcMar>
              <w:top w:w="50" w:type="dxa"/>
              <w:left w:w="50" w:type="dxa"/>
              <w:bottom w:w="50" w:type="dxa"/>
              <w:right w:w="50" w:type="dxa"/>
            </w:tcMar>
          </w:tcPr>
          <w:p w14:paraId="06933A2A" w14:textId="77777777" w:rsidR="00F031A4" w:rsidRDefault="00000000">
            <w:pPr>
              <w:jc w:val="center"/>
            </w:pPr>
            <w:r>
              <w:rPr>
                <w:noProof/>
              </w:rPr>
              <w:drawing>
                <wp:inline distT="0" distB="0" distL="0" distR="0" wp14:anchorId="2767FD27" wp14:editId="5B67978F">
                  <wp:extent cx="2926080" cy="10256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o_breakdown_illustration.png"/>
                          <pic:cNvPicPr/>
                        </pic:nvPicPr>
                        <pic:blipFill>
                          <a:blip r:embed="rId8"/>
                          <a:stretch>
                            <a:fillRect/>
                          </a:stretch>
                        </pic:blipFill>
                        <pic:spPr>
                          <a:xfrm>
                            <a:off x="0" y="0"/>
                            <a:ext cx="2926080" cy="1025636"/>
                          </a:xfrm>
                          <a:prstGeom prst="rect">
                            <a:avLst/>
                          </a:prstGeom>
                        </pic:spPr>
                      </pic:pic>
                    </a:graphicData>
                  </a:graphic>
                </wp:inline>
              </w:drawing>
            </w:r>
          </w:p>
        </w:tc>
        <w:tc>
          <w:tcPr>
            <w:tcW w:w="4968" w:type="dxa"/>
            <w:tcMar>
              <w:top w:w="50" w:type="dxa"/>
              <w:left w:w="50" w:type="dxa"/>
              <w:bottom w:w="50" w:type="dxa"/>
              <w:right w:w="50" w:type="dxa"/>
            </w:tcMar>
          </w:tcPr>
          <w:p w14:paraId="592B1F0B" w14:textId="77777777" w:rsidR="00F031A4" w:rsidRDefault="00000000">
            <w:pPr>
              <w:jc w:val="center"/>
            </w:pPr>
            <w:r>
              <w:rPr>
                <w:noProof/>
              </w:rPr>
              <w:drawing>
                <wp:inline distT="0" distB="0" distL="0" distR="0" wp14:anchorId="302E3359" wp14:editId="7774B478">
                  <wp:extent cx="2926080" cy="93513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o_raster_limitations_illustration.png"/>
                          <pic:cNvPicPr/>
                        </pic:nvPicPr>
                        <pic:blipFill>
                          <a:blip r:embed="rId9"/>
                          <a:stretch>
                            <a:fillRect/>
                          </a:stretch>
                        </pic:blipFill>
                        <pic:spPr>
                          <a:xfrm>
                            <a:off x="0" y="0"/>
                            <a:ext cx="2926080" cy="935139"/>
                          </a:xfrm>
                          <a:prstGeom prst="rect">
                            <a:avLst/>
                          </a:prstGeom>
                        </pic:spPr>
                      </pic:pic>
                    </a:graphicData>
                  </a:graphic>
                </wp:inline>
              </w:drawing>
            </w:r>
          </w:p>
        </w:tc>
      </w:tr>
    </w:tbl>
    <w:p w14:paraId="12CC7D9A" w14:textId="77777777" w:rsidR="00F031A4" w:rsidRDefault="00000000">
      <w:pPr>
        <w:jc w:val="center"/>
      </w:pPr>
      <w:r>
        <w:rPr>
          <w:i/>
          <w:color w:val="5F6978"/>
          <w:sz w:val="16"/>
        </w:rPr>
        <w:t>Illustrative examples: a single raster alpha versus an artist-style multi-shape breakdown (left), and common failure modes when a raster mask is treated as the final roto representation (right).</w:t>
      </w:r>
    </w:p>
    <w:p w14:paraId="49FB4600" w14:textId="77777777" w:rsidR="00F031A4" w:rsidRDefault="00000000">
      <w:pPr>
        <w:pStyle w:val="SmallNote"/>
      </w:pPr>
      <w:r>
        <w:t xml:space="preserve">Useful production references: </w:t>
      </w:r>
      <w:hyperlink r:id="rId10">
        <w:r>
          <w:rPr>
            <w:color w:val="3B67A0"/>
            <w:u w:val="single"/>
          </w:rPr>
          <w:t>fxguide - The Art of Roto (Nuke body/arm shape example)</w:t>
        </w:r>
      </w:hyperlink>
      <w:r>
        <w:t xml:space="preserve">  |  </w:t>
      </w:r>
      <w:hyperlink r:id="rId11">
        <w:r>
          <w:rPr>
            <w:color w:val="3B67A0"/>
            <w:u w:val="single"/>
          </w:rPr>
          <w:t>Boris FX - rotoscoping examples</w:t>
        </w:r>
      </w:hyperlink>
    </w:p>
    <w:p w14:paraId="47B94BA9" w14:textId="77777777" w:rsidR="00F031A4" w:rsidRDefault="00000000">
      <w:pPr>
        <w:pStyle w:val="Heading2"/>
        <w:spacing w:before="140"/>
      </w:pPr>
      <w:r>
        <w:lastRenderedPageBreak/>
        <w:t>Animation and keyframes</w:t>
      </w:r>
    </w:p>
    <w:p w14:paraId="2A986E2F" w14:textId="77777777" w:rsidR="00F031A4" w:rsidRDefault="00000000">
      <w:r>
        <w:t>Artists do not normally redraw or independently fit every frame. Gross motion is often carried by a tracked layer transform, while the B-spline points only key the residual deformation that the track cannot explain. Within the measured archive, temporal interpolation between shape keys is Catmull-Rom. This factorization is central to key economy: a shape can remain useful with only a handful of local keys because the layer transform carries translation, scale, rotation, perspective-like motion, or planar-track motion. Shapes also have real lifespans: they can appear or disappear through opacity rather than being forced to exist for the entire element.</w:t>
      </w:r>
    </w:p>
    <w:tbl>
      <w:tblPr>
        <w:tblW w:w="0" w:type="auto"/>
        <w:jc w:val="center"/>
        <w:tblLook w:val="04A0" w:firstRow="1" w:lastRow="0" w:firstColumn="1" w:lastColumn="0" w:noHBand="0" w:noVBand="1"/>
      </w:tblPr>
      <w:tblGrid>
        <w:gridCol w:w="9936"/>
      </w:tblGrid>
      <w:tr w:rsidR="00F031A4" w14:paraId="6F549523" w14:textId="77777777">
        <w:trPr>
          <w:jc w:val="center"/>
        </w:trPr>
        <w:tc>
          <w:tcPr>
            <w:tcW w:w="9936" w:type="dxa"/>
            <w:shd w:val="clear" w:color="auto" w:fill="EAF2FA"/>
            <w:tcMar>
              <w:top w:w="120" w:type="dxa"/>
              <w:left w:w="180" w:type="dxa"/>
              <w:bottom w:w="130" w:type="dxa"/>
              <w:right w:w="180" w:type="dxa"/>
            </w:tcMar>
          </w:tcPr>
          <w:p>
            <w:r/>
            <w:r>
              <w:rPr>
                <w:b/>
              </w:rPr>
              <w:t>The important distinction</w:t>
            </w:r>
            <w:r>
              <w:br/>
              <w:t>Two roto projects can render nearly identical mattes while one has a sensible layer/shape breakdown, economical native B-spline points, tracked gross motion, correct shape lifespans, and sparse meaningful keys, and the other is structurally unusable. Our goal is to learn the former.</w:t>
            </w:r>
          </w:p>
        </w:tc>
      </w:tr>
    </w:tbl>
    <w:p w14:paraId="1AEA5E0C" w14:textId="77777777" w:rsidR="00F031A4" w:rsidRDefault="00F031A4"/>
    <w:p w14:paraId="2C26AF47" w14:textId="77777777" w:rsidR="00F031A4" w:rsidRDefault="00000000">
      <w:pPr>
        <w:pStyle w:val="Heading1"/>
        <w:spacing w:before="200" w:after="80"/>
      </w:pPr>
      <w:r>
        <w:t>2. Where Slapshot Roto fits today - and what is missing</w:t>
      </w:r>
    </w:p>
    <w:p w14:paraId="631F041E" w14:textId="01E90822" w:rsidR="00F031A4" w:rsidRDefault="00000000">
      <w:r>
        <w:t>Slapshot Roto already solves a large and valuable part of the problem: it produces raster alpha/mask sequences from video. The new work described here should be thought of as a spline-native back end to that existing capability, not a replacement for it.</w:t>
      </w:r>
    </w:p>
    <w:p w14:paraId="37EDDE1F" w14:textId="77777777" w:rsidR="00F031A4" w:rsidRDefault="00000000">
      <w:r>
        <w:t>Current flow: RGB image sequence -&gt; Slapshot Roto -&gt; alpha sequence</w:t>
      </w:r>
    </w:p>
    <w:p w14:paraId="3B6F2254" w14:textId="77777777" w:rsidR="00F031A4" w:rsidRDefault="00000000">
      <w:r>
        <w:t>Proposed extension: element RGB sequence -&gt; Slapshot Roto -&gt; element alpha sequence + RGB -&gt; learned native-spline model -&gt; editable production roto</w:t>
      </w:r>
    </w:p>
    <w:p w14:paraId="3184CCE7" w14:textId="77777777" w:rsidR="00F031A4" w:rsidRDefault="00000000">
      <w:r>
        <w:t>The alpha is an excellent description of which pixels Slapshot believes belong to the element, but it is a lossy representation of the original plate and of the artist's production structure. It does not contain layer transforms, local-versus-gross motion factorization, shape lifespans, sparse key timing, or native B-spline point economy. It can also omit real image detail such as fine hair, thin objects, partial occlusions, or subtle boundaries. If we simply vectorize each alpha frame independently, we preserve both problems: the raster prediction errors and the lack of artist structure.</w:t>
      </w:r>
    </w:p>
    <w:p w14:paraId="4EB59255" w14:textId="77777777" w:rsidR="00F031A4" w:rsidRDefault="00000000">
      <w:pPr>
        <w:pStyle w:val="ListBullet"/>
      </w:pPr>
      <w:r>
        <w:t>Temporal chatter: small frame-to-frame mask errors can become visible spline edge crawl.</w:t>
      </w:r>
    </w:p>
    <w:p w14:paraId="26BBAD9C" w14:textId="77777777" w:rsidR="00F031A4" w:rsidRDefault="00000000">
      <w:pPr>
        <w:pStyle w:val="ListBullet"/>
      </w:pPr>
      <w:r>
        <w:t>Single blobby shapes: a combined mask does not expose the articulated shape breakdown an artist would build.</w:t>
      </w:r>
    </w:p>
    <w:p w14:paraId="08FFEE46" w14:textId="77777777" w:rsidR="00F031A4" w:rsidRDefault="00000000">
      <w:pPr>
        <w:pStyle w:val="ListBullet"/>
      </w:pPr>
      <w:r>
        <w:t>Dense keys and wrong motion factorization: per-frame fitting pushes gross motion into control-point animation instead of tracked transforms, naturally producing dense local keys rather than sparse artist keyframes.</w:t>
      </w:r>
    </w:p>
    <w:p w14:paraId="5D64BA89" w14:textId="77777777" w:rsidR="00F031A4" w:rsidRDefault="00000000">
      <w:pPr>
        <w:pStyle w:val="ListBullet"/>
      </w:pPr>
      <w:r>
        <w:t>Poor editability: fitted curves often use too many points, unstable point correspondence, arbitrary key timing, and no useful layer hierarchy or shape lifespan.</w:t>
      </w:r>
    </w:p>
    <w:p w14:paraId="7C550211" w14:textId="77777777" w:rsidR="00F031A4" w:rsidRDefault="00000000">
      <w:pPr>
        <w:pStyle w:val="ListBullet"/>
      </w:pPr>
      <w:r>
        <w:t>No production intent: Slapshot Roto answers “what is the object?”; the proposed model must additionally answer “how would an artist represent this object as editable spline animation?”</w:t>
      </w:r>
    </w:p>
    <w:p w14:paraId="643D4062" w14:textId="77777777" w:rsidR="00F031A4" w:rsidRDefault="00000000">
      <w:pPr>
        <w:pStyle w:val="Heading1"/>
        <w:spacing w:before="200" w:after="80"/>
      </w:pPr>
      <w:r>
        <w:t>3. What we have in Hotspring's historical dataset</w:t>
      </w:r>
    </w:p>
    <w:p w14:paraId="1CDBD355" w14:textId="77777777" w:rsidR="00F031A4" w:rsidRDefault="00000000">
      <w:r>
        <w:t>Hotspring's historical archive contains professional roto outputs at the spline-program level, plus the corresponding production context for at least part of the archive. The measured sample changes how we should represent the problem: it is not generic Bézier animation. We should learn the archive in its native artist representation.</w:t>
      </w:r>
    </w:p>
    <w:p w14:paraId="384734A7" w14:textId="77777777" w:rsidR="00F031A4" w:rsidRDefault="00000000">
      <w:pPr>
        <w:pStyle w:val="ListBullet"/>
      </w:pPr>
      <w:r>
        <w:t>how artists decompose an element into layers and separate native B-spline shapes;</w:t>
      </w:r>
    </w:p>
    <w:p w14:paraId="1EBBBD2B" w14:textId="77777777" w:rsidR="00F031A4" w:rsidRDefault="00000000">
      <w:pPr>
        <w:pStyle w:val="ListBullet"/>
      </w:pPr>
      <w:r>
        <w:t>the number and placement of B-spline control points - 1,604 of 1,604 measured shapes are B-splines, with no artist-authored Bézier handles;</w:t>
      </w:r>
    </w:p>
    <w:p w14:paraId="2354CD93" w14:textId="77777777" w:rsidR="00F031A4" w:rsidRDefault="00000000">
      <w:pPr>
        <w:pStyle w:val="ListBullet"/>
      </w:pPr>
      <w:r>
        <w:t>the layer transform hierarchy and tracking matrices that carry gross motion - in the measured sample, 159 layers carry tracking matrices and 104 of those transforms are animated;</w:t>
      </w:r>
    </w:p>
    <w:p w14:paraId="075F47AA" w14:textId="77777777" w:rsidR="00F031A4" w:rsidRDefault="00000000">
      <w:pPr>
        <w:pStyle w:val="ListBullet"/>
      </w:pPr>
      <w:r>
        <w:t>shape overlap, ordering, grouping, parent layers, and shape visibility/lifespans - 720 of 1,604 measured shapes have opacity births/deaths;</w:t>
      </w:r>
    </w:p>
    <w:p w14:paraId="6D4CEE44" w14:textId="77777777" w:rsidR="00F031A4" w:rsidRDefault="00000000">
      <w:pPr>
        <w:pStyle w:val="ListBullet"/>
      </w:pPr>
      <w:r>
        <w:t>how local B-spline points deform after layer motion has been factored out;</w:t>
      </w:r>
    </w:p>
    <w:p w14:paraId="3B5D98AB" w14:textId="77777777" w:rsidR="00F031A4" w:rsidRDefault="00000000">
      <w:pPr>
        <w:pStyle w:val="ListBullet"/>
      </w:pPr>
      <w:r>
        <w:t>where artists place sparse keyframes - the measured sample has a median of roughly seven keys per shape - and where they rely on Catmull-Rom interpolation;</w:t>
      </w:r>
    </w:p>
    <w:p w14:paraId="10B6BC9A" w14:textId="77777777" w:rsidR="00F031A4" w:rsidRDefault="00000000">
      <w:pPr>
        <w:pStyle w:val="ListBullet"/>
      </w:pPr>
      <w:r>
        <w:t>the original RGB image sequences where rights/availability permit, plus existing layer names that can act as weak semantic labels.</w:t>
      </w:r>
    </w:p>
    <w:p w14:paraId="4D6E29AD" w14:textId="77777777" w:rsidR="00F031A4" w:rsidRDefault="00000000">
      <w:r>
        <w:t>The crucial point is that the archive contains the hidden production representation, not only the matte it produces. Converting the training targets into generic Béziers would manufacture handle parameters the artists never authored and inflate point counts, weakening the very economy signal we want to learn. The model target should therefore remain in Hotspring's native artist space: B-spline points, layer hierarchy/transforms, shape lifespans, sparse keys, and timing. Bézier conversion belongs only at the renderer boundary.</w:t>
      </w:r>
    </w:p>
    <w:p w14:paraId="1641A180" w14:textId="77777777" w:rsidR="00F031A4" w:rsidRDefault="00000000">
      <w:pPr>
        <w:pStyle w:val="Heading1"/>
        <w:spacing w:before="200" w:after="80"/>
      </w:pPr>
      <w:r>
        <w:t>4. Core modeling idea: inverse rendering with learned artist priors</w:t>
      </w:r>
    </w:p>
    <w:p w14:paraId="6EDD6232" w14:textId="77777777" w:rsidR="00F031A4" w:rsidRDefault="00000000">
      <w:r>
        <w:t>The model should operate at the element level: take the Slapshot alpha sequence for one element together with the aligned RGB image sequence where available, and predict the native Hotspring roto program that most plausibly explains it. This is still an inverse-rendering problem with learned artist priors, but the target is now explicitly the production factorization used by artists - layer motion plus local B-spline deformation and shape lifespans - rather than a generic vector trace.</w:t>
      </w:r>
    </w:p>
    <w:p w14:paraId="3E0D08EE" w14:textId="77777777" w:rsidR="00F031A4" w:rsidRDefault="00000000">
      <w:pPr>
        <w:jc w:val="center"/>
      </w:pPr>
      <w:r>
        <w:t>Element alpha sequence + RGB sequence + optional semantic context  -&gt;  trainable roto model  -&gt;  native layer/B-spline program  -&gt;  B-spline-to-Bézier conversion  -&gt;  DiffVG  -&gt;  reconstructed clean alpha</w:t>
      </w:r>
    </w:p>
    <w:p w14:paraId="151C7A8A" w14:textId="77777777" w:rsidR="00F031A4" w:rsidRDefault="00000000">
      <w:r>
        <w:t>The inversion is inherently one-to-many: many valid layer/shape programs can render to nearly the same matte. That ambiguity is exactly where the Hotspring archive matters. Alpha provides a strong initial object hypothesis; RGB provides evidence for boundaries or details the raster prediction missed; the historical layer/shape program supplies the production prior. Semantic conditioning may help by distinguishing radically different motion classes, but it should be treated as optional conditioning rather than a prerequisite.</w:t>
      </w:r>
    </w:p>
    <w:p w14:paraId="0095BF14" w14:textId="77777777" w:rsidR="00F031A4" w:rsidRDefault="00000000">
      <w:pPr>
        <w:pStyle w:val="Heading2"/>
        <w:spacing w:before="140"/>
      </w:pPr>
      <w:r>
        <w:t>Why alpha + RGB conditioning</w:t>
      </w:r>
    </w:p>
    <w:p w14:paraId="0BD0058F" w14:textId="77777777" w:rsidR="00F031A4" w:rsidRDefault="00000000">
      <w:r>
        <w:t>The alpha sequence should remain the primary geometric cue because Slapshot has already identified the target element and provides a strong boundary estimate. The original RGB sequence should be available when rights and data availability permit so the model can recover information that is absent from the raster prediction - for example, a hair tuft or thin edge that Slapshot omitted entirely - rather than hallucinating that detail from priors alone. At the same time, we should maintain a matte-only training/inference path through modality dropout so every usable spline example remains valuable even where RGB cannot be used.</w:t>
      </w:r>
    </w:p>
    <w:p w14:paraId="467207A1" w14:textId="77777777" w:rsidR="00F031A4" w:rsidRDefault="00000000">
      <w:r>
        <w:t>RGB also helps with interior decomposition. A combined alpha can be mathematically ambiguous about where an arm overlaps a torso or where one articulated part ends and another begins. Texture, edge, shading, and motion cues in RGB make those production seams more observable. The key is that RGB supplements the alpha; it does not replace Slapshot as the target-selection/perception front end.</w:t>
      </w:r>
    </w:p>
    <w:p w14:paraId="1F9B982D" w14:textId="77777777" w:rsidR="00F031A4" w:rsidRDefault="00000000">
      <w:pPr>
        <w:pStyle w:val="Heading1"/>
        <w:spacing w:before="200" w:after="80"/>
      </w:pPr>
      <w:r>
        <w:t>5. Training strategy</w:t>
      </w:r>
    </w:p>
    <w:p w14:paraId="2F29A8B3" w14:textId="77777777" w:rsidR="00F031A4" w:rsidRDefault="00000000">
      <w:r>
        <w:t>The initial training plan should be deliberately staged so we can validate the native representation and the learning signal before processing the full Hotspring archive. The unit of data and inference should be an element, not an entire shot: the measured shot contains 1,604 shapes, while an element-level crop brings the prediction problem down to tens of shapes and aligns with the existing deliverable/channel structure.</w:t>
      </w:r>
    </w:p>
    <w:p w14:paraId="6C39B743" w14:textId="77777777" w:rsidR="00F031A4" w:rsidRDefault="00000000">
      <w:pPr>
        <w:pStyle w:val="Heading2"/>
        <w:spacing w:before="140"/>
      </w:pPr>
      <w:r>
        <w:t>Step 1 - Native roto representation and deterministic renderer</w:t>
      </w:r>
    </w:p>
    <w:p w14:paraId="7D38762E" w14:textId="77777777" w:rsidR="00F031A4" w:rsidRDefault="00000000">
      <w:pPr>
        <w:pStyle w:val="ListNumber"/>
      </w:pPr>
      <w:r>
        <w:t>Parse the historical Hotspring files into one normalized roto intermediate representation (IR) that preserves the artist representation: element -&gt; layer -&gt; shape hierarchy, native B-spline points and shape type, per-layer tracking/transform matrices, shape opacity/lifespans, local keyframes, timing, Catmull-Rom interpolation, ordering, and any additional production attributes we decide to support.</w:t>
      </w:r>
    </w:p>
    <w:p w14:paraId="7A1AB1AD" w14:textId="77777777" w:rsidR="00F031A4" w:rsidRDefault="00000000">
      <w:pPr>
        <w:pStyle w:val="ListNumber"/>
      </w:pPr>
      <w:r>
        <w:t>Build a deterministic renderer that can round-trip the IR back to the artist matte closely enough that we trust the parsed labels. For differentiable training, add an exact B-spline-to-piecewise-cubic-Bézier conversion at the rendering boundary so DiffVG can consume the prediction without changing the model's native target representation.</w:t>
      </w:r>
    </w:p>
    <w:p w14:paraId="6D1F3A7F" w14:textId="77777777" w:rsidR="00F031A4" w:rsidRDefault="00000000">
      <w:r>
        <w:t>This is the gating work. The model should train against a clean, stable, native representation rather than every source application/file dialect independently. The round-trip test should also validate tracked transforms, shape births/deaths, and Catmull-Rom evaluation at frames that are not explicit keys.</w:t>
      </w:r>
    </w:p>
    <w:p w14:paraId="621415B1" w14:textId="701A77AE" w:rsidR="00F031A4" w:rsidRDefault="00000000">
      <w:pPr>
        <w:pStyle w:val="Heading2"/>
        <w:spacing w:before="140"/>
      </w:pPr>
      <w:r>
        <w:t>Step 2 - a subset of the Hotspring archive, at element level</w:t>
      </w:r>
    </w:p>
    <w:p w14:paraId="3791155F" w14:textId="77777777" w:rsidR="00F031A4" w:rsidRDefault="00000000">
      <w:r>
        <w:t>Do not begin by ingesting the entire archive. Select a representative subset of Hotspring elements with varied subject classes, motion, element lengths, shape complexity, transform usage, lifespan behavior, and keyframe density. Render the native artist program to clean alpha and pair it with the corresponding RGB sequence where available. Train on element examples where the input is clean artist alpha + RGB and the target is the original native layer/B-spline program. Maintain an alpha-only ablation by dropping the RGB branch for a controlled fraction of examples.</w:t>
      </w:r>
    </w:p>
    <w:p w14:paraId="53EDB0D5" w14:textId="77777777" w:rsidR="00F031A4" w:rsidRDefault="00000000">
      <w:pPr>
        <w:jc w:val="center"/>
      </w:pPr>
      <w:r>
        <w:t>Element RGB sequence + clean artist alpha sequence  -&gt;  native Hotspring layer/B-spline program</w:t>
      </w:r>
    </w:p>
    <w:p w14:paraId="60A5B49E" w14:textId="77777777" w:rsidR="00F031A4" w:rsidRDefault="00000000">
      <w:r>
        <w:t>This first stage answers the core question at small scale: can a network learn native production structure, motion factorization, lifespans, animation, and keyframe economy when given a clean element alpha plus optional RGB evidence? For the earliest experiment, teacher-force the historical decomposition/layer assignment (and, if useful, reference-frame geometry) and ask the model first to learn transforms, local deformation, lifespans, and key timing. Then progressively remove those teacher inputs.</w:t>
      </w:r>
    </w:p>
    <w:p w14:paraId="500EF80D" w14:textId="1C3419A4" w:rsidR="00F031A4" w:rsidRDefault="00000000">
      <w:pPr>
        <w:pStyle w:val="Heading2"/>
        <w:spacing w:before="140"/>
      </w:pPr>
      <w:r>
        <w:t>Step 3 - train on the actual Slapshot inference distribution</w:t>
      </w:r>
    </w:p>
    <w:p w14:paraId="694EDEB7" w14:textId="77777777" w:rsidR="00F031A4" w:rsidRDefault="00000000">
      <w:r>
        <w:t>The product will not normally receive the pristine alpha rendered from the artist program. It will receive a predicted alpha from Slapshot Roto together with the original RGB image sequence when available. To align training with deployment, use the historical plate plus the native Hotspring artist program to manufacture the exact inference-time pairing at the element level.</w:t>
      </w:r>
    </w:p>
    <w:p w14:paraId="11C30413" w14:textId="77777777" w:rsidR="00F031A4" w:rsidRDefault="00000000">
      <w:pPr>
        <w:jc w:val="center"/>
      </w:pPr>
      <w:r>
        <w:t>historical element RGB sequence  -&gt;  Slapshot Roto  -&gt;  predicted alpha + RGB  -&gt;  target: native Hotspring layer/B-spline program</w:t>
      </w:r>
    </w:p>
    <w:p w14:paraId="01800E78" w14:textId="77777777" w:rsidR="00F031A4" w:rsidRDefault="00000000">
      <w:r>
        <w:t>This directly teaches the model to turn the characteristic imperfections of our own raster inference into smooth, editable production roto while using RGB to recover real visual evidence that the raster prediction omitted. If Slapshot inference is too expensive for large-scale data manufacturing, a commercially acceptable SAM-family or other efficient segmentation model can be evaluated as a cheaper degraded-alpha source, but Slapshot-generated examples remain the closest match to deployment. The matte-only ablation should be trained on the same targets so it remains viable wherever RGB cannot be used.</w:t>
      </w:r>
    </w:p>
    <w:p w14:paraId="28B7C299" w14:textId="77777777" w:rsidR="00F031A4" w:rsidRDefault="00000000">
      <w:r>
        <w:t>Important loss rule. For degraded-input training, the differentiable raster loss should compare the predicted program against the clean artist render, never against the imperfect Slapshot input. Raster supervision should be evaluated not only at artist keyframes but also at sampled non-key frames after the archive's Catmull-Rom interpolation; otherwise the model can fit its keys while drifting between them.</w:t>
      </w:r>
    </w:p>
    <w:p w14:paraId="2CB1397B" w14:textId="77777777" w:rsidR="00F031A4" w:rsidRDefault="00000000">
      <w:pPr>
        <w:pStyle w:val="Heading1"/>
        <w:spacing w:before="200" w:after="80"/>
      </w:pPr>
      <w:r>
        <w:t>6. Proposed model: what actually learns the spline program</w:t>
      </w:r>
    </w:p>
    <w:p w14:paraId="25F6F71E" w14:textId="1D26BCB9" w:rsidR="00F031A4" w:rsidRDefault="001E65AA">
      <w:r>
        <w:t>The trainable system should learn Hotspring's native production representation directly. At element scale it combines geometry from the alpha sequence, optional visual evidence from RGB, and optional semantic conditioning, then predicts layer structure/transforms and the local B-spline programs living under those layers. DiffVG remains a differentiable raster loss only; the learning happens in the encoder/decoder. Importantly, once decomposition is generated freely, we should not define correctness as a one-to-one match with the single historical artist breakdown. Multiple valid programs can explain the same element, so the complete rendered result becomes the decomposition-independent visual target while the archive supplies artist priors and direct supervision wherever identity is known.</w:t>
      </w:r>
    </w:p>
    <w:tbl>
      <w:tblPr>
        <w:tblW w:w="0" w:type="auto"/>
        <w:jc w:val="center"/>
        <w:tblLook w:val="04A0" w:firstRow="1" w:lastRow="0" w:firstColumn="1" w:lastColumn="0" w:noHBand="0" w:noVBand="1"/>
      </w:tblPr>
      <w:tblGrid>
        <w:gridCol w:w="9936"/>
      </w:tblGrid>
      <w:tr w:rsidR="00F031A4" w14:paraId="6E632B6E" w14:textId="77777777">
        <w:trPr>
          <w:jc w:val="center"/>
          <w:cantSplit/>
        </w:trPr>
        <w:tc>
          <w:tcPr>
            <w:tcW w:w="9936" w:type="dxa"/>
            <w:shd w:val="clear" w:color="auto" w:fill="EAF2FA"/>
            <w:tcMar>
              <w:top w:w="120" w:type="dxa"/>
              <w:left w:w="180" w:type="dxa"/>
              <w:bottom w:w="130" w:type="dxa"/>
              <w:right w:w="180" w:type="dxa"/>
            </w:tcMar>
          </w:tcPr>
          <w:p>
            <w:r>
              <w:t>Mental model</w:t>
              <w:br/>
              <w:t>One element goes in: alpha sequence plus RGB when available. The encoder fuses geometry and image evidence. A hierarchical decoder predicts layers and their transform tracks, then generates native B-spline shapes with lifespans and sparse local keys. Teacher-forced stages use direct per-shape supervision because identity is known. Once decomposition is free, the preferred direction is autoregressive layer/shape generation rather than requiring a one-to-one match with the historical breakdown. Weak semantics are optional. For raster supervision only, B-splines are converted to cubic Bezier segments and rendered with DiffVG; the complete render provides the decomposition-independent visual target.</w:t>
            </w:r>
          </w:p>
        </w:tc>
      </w:tr>
    </w:tbl>
    <w:p w14:paraId="6D8615E1" w14:textId="77777777" w:rsidR="00F031A4" w:rsidRDefault="00F031A4"/>
    <w:p>
      <w:pPr>
        <w:pStyle w:val="Heading2"/>
      </w:pPr>
      <w:r>
        <w:t>6.1 Unit of inference and inputs: one element</w:t>
      </w:r>
    </w:p>
    <w:p>
      <w:pPr/>
      <w:r>
        <w:t>The unit of inference should be an element rather than an entire shot. This matters both computationally and statistically. A shot-level decoder would have to predict on the order of 1,600 shapes in the measured example; an element-level crop reduces the output to a manageable tens-of-shapes problem and matches the channel/deliverable structure already used in production. Each training example contains an aligned alpha sequence and, when available, RGB sequence for that element.</w:t>
      </w:r>
    </w:p>
    <w:p>
      <w:pPr/>
      <w:r>
        <w:t>The alpha is the strong geometric guide. RGB supplies high-frequency boundary evidence and internal cues that may be missing from the alpha. It is worth experimenting with simple geometry-derived channels such as a signed-distance field, boundary distance, and temporal alpha difference. RGB should use modality dropout during training so the same model or a sibling matte-only configuration remains usable when plate rights or availability prevent RGB use.</w:t>
      </w:r>
    </w:p>
    <w:p>
      <w:pPr>
        <w:pStyle w:val="SmallNote"/>
      </w:pPr>
      <w:r>
        <w:t>Implementation base: PyTorch (BSD-3-Clause). The matte branch can be built from standard convolution/transformer blocks and trained from scratch. A compact Swin-style branch is a reasonable permissive reference for high-resolution RGB features.</w:t>
      </w:r>
    </w:p>
    <w:p>
      <w:pPr>
        <w:pStyle w:val="Heading2"/>
      </w:pPr>
      <w:r>
        <w:t>6.2 Native roto IR: learn artist space, not renderer space</w:t>
      </w:r>
    </w:p>
    <w:p>
      <w:pPr/>
      <w:r>
        <w:t>The target representation should mirror what the Hotspring artists actually authored. In the measured sample, all 1,604 shapes are B-splines and there are no artist-authored Bézier handles. The IR should therefore preserve native B-spline control points and a shape-type token rather than converting targets into Bézier control points/handles. Converting B-spline targets up front would inflate point counts and manufacture parameters that are not part of the artist decision process.</w:t>
      </w:r>
    </w:p>
    <w:p>
      <w:pPr/>
      <w:r>
        <w:t>The IR also needs element/layer/shape hierarchy, per-layer transforms or tracking matrices, shape opacity/lifespans, keyframe times, local control-point values at those keys, and the archive's Catmull-Rom temporal interpolation. These are not metadata around the spline; they are part of the production program the model is being asked to recover.</w:t>
      </w:r>
    </w:p>
    <w:p>
      <w:pPr>
        <w:pStyle w:val="Heading2"/>
      </w:pPr>
      <w:r>
        <w:t>6.3 Dual visual encoder: geometry first, RGB as evidence</w:t>
      </w:r>
    </w:p>
    <w:p>
      <w:pPr/>
      <w:r>
        <w:t>The visual encoder should have two complementary branches. A matte/geometry branch encodes the alpha sequence and learns boundary shape, motion, and deformation. An RGB branch encodes the aligned plate sequence and provides evidence for hair, thin structures, ambiguous overlaps, or boundaries that Slapshot omitted or softened. The two streams are fused into a shared spatiotemporal representation before decoding.</w:t>
      </w:r>
    </w:p>
    <w:p>
      <w:pPr/>
      <w:r>
        <w:t>Because the alpha already identifies the element, the RGB encoder does not need to solve general segmentation; it only needs to refine and explain the target region. Computation can be concentrated around the alpha boundary and likely internal seams. A compact Swin-style or similar multiscale encoder is a sensible starting point, trained on our paired data rather than relying on potentially restricted pretrained weights.</w:t>
      </w:r>
    </w:p>
    <w:p>
      <w:pPr>
        <w:pStyle w:val="SmallNote"/>
      </w:pPr>
      <w:r>
        <w:t>Permissive reference: Microsoft Swin Transformer (MIT) for the RGB/multiscale architecture; standard PyTorch blocks for the matte branch.</w:t>
      </w:r>
    </w:p>
    <w:p>
      <w:pPr>
        <w:pStyle w:val="Heading2"/>
      </w:pPr>
      <w:r>
        <w:t>6.4 Semantic conditioning: useful ablation, not a dependency</w:t>
      </w:r>
    </w:p>
    <w:p>
      <w:pPr/>
      <w:r>
        <w:t>A person, basketball, loose garment, hair mass, vehicle, or rigid prop should not share exactly the same prior over decomposition, transform usage, point economy, or deformation. That makes semantic conditioning plausible. However, it should not sit on the critical path. Hotspring's existing layer names (for example, face, body, wall) already provide free weak labels, and the base model should train and run when no semantic label is available.</w:t>
      </w:r>
    </w:p>
    <w:p>
      <w:pPr/>
      <w:r>
        <w:t>Use conditioning dropout so semantics can be absent. Once the native geometry model is working, an offline permissively licensed VLM can classify the target element or individual historical layers and enrich those weak labels. The correct question is then an ablation: does semantic conditioning measurably improve breakdown, motion factorization, or artist correction time?</w:t>
      </w:r>
    </w:p>
    <w:p>
      <w:pPr>
        <w:pStyle w:val="SmallNote"/>
      </w:pPr>
      <w:r>
        <w:t>Optional VLM reference: a small Qwen3-VL Instruct checkpoint published under Apache-2.0, subject to re-checking the exact checkpoint terms before product use. The VLM supplies labels/embeddings, never spline coordinates.</w:t>
      </w:r>
    </w:p>
    <w:p>
      <w:pPr>
        <w:pStyle w:val="Heading2"/>
      </w:pPr>
      <w:r>
        <w:t>6.5 Hierarchical layer/shape decoder: predict the production breakdown</w:t>
      </w:r>
    </w:p>
    <w:p>
      <w:pPr/>
      <w:r>
        <w:t>The fused element representation should decode hierarchically. First predict the layer structure needed for the element, including parent/group relationships and a latent representation for each layer. Within each layer, predict the shapes that exist and which layer they belong to. This creates an explicit place for the tracking transform and prevents every shape from independently re-learning the same gross motion.</w:t>
      </w:r>
    </w:p>
    <w:p>
      <w:pPr/>
      <w:r>
        <w:t>Decomposition is inherently multimodal: two competent artists can choose different but equally usable layer/shape breakdowns for the same element. We should therefore avoid making global one-to-one set matching the core learning objective. During the teacher-forced curriculum, the historical layer/shape identity is supplied, so direct per-shape supervision is unambiguous. Once those inputs are removed, the cleaner working direction is autoregressive hierarchical generation: predict a layer or shape, condition subsequent predictions on what has already been generated, and continue until a STOP decision. This lets the model commit to one coherent breakdown rather than being forced to match every predicted shape to one particular historical decomposition. A DETR-style set decoder can still be retained as an element-level comparison baseline, but it should not define the main architecture or loss.</w:t>
      </w:r>
    </w:p>
    <w:p>
      <w:pPr>
        <w:pStyle w:val="SmallNote"/>
      </w:pPr>
      <w:r>
        <w:t>Permissive references: DeepSVG (MIT) for hierarchical/autoregressive vector-generation ideas; DETR (Apache-2.0) as an optional set-decoder comparison. We are borrowing architectural concepts, not SVG or object-detection target parameterizations.</w:t>
      </w:r>
    </w:p>
    <w:p>
      <w:pPr>
        <w:pStyle w:val="Heading2"/>
      </w:pPr>
      <w:r>
        <w:t>6.6 Motion factorization: layer transforms plus local B-spline deformation</w:t>
      </w:r>
    </w:p>
    <w:p>
      <w:pPr/>
      <w:r>
        <w:t>The decoder should not predict every control point directly in screen space. The archive shows why: 159 measured layers carry tracking matrices and 104 of those transforms are animated. Gross element/layer motion should therefore be represented by a per-layer transform track (or, as a fallback, a per-shape affine/transform track), while the spline decoder predicts local residual deformation underneath that transform.</w:t>
      </w:r>
    </w:p>
    <w:p>
      <w:pPr/>
      <w:r>
        <w:t>Conceptually, the rendered shape at time t is the layer transform applied to the locally interpolated B-spline at t. This gives the model the same economical factorization artists use: tracking carries coherent motion; sparse spline keys correct deformation. Direct supervision can come from the historical tracking matrices where present, with regularization encouraging shared gross motion to live in the transform rather than being redundantly encoded into every control point.</w:t>
      </w:r>
    </w:p>
    <w:p>
      <w:pPr>
        <w:pStyle w:val="Heading2"/>
      </w:pPr>
      <w:r>
        <w:t>6.7 Per-shape native B-spline decoder and shape lifespan</w:t>
      </w:r>
    </w:p>
    <w:p>
      <w:pPr/>
      <w:r>
        <w:t>Each active shape latent should emit the native artist representation: shape type, number of active B-spline points, point coordinates in the local layer frame, opacity/lifespan, sparse keyframe locations, and local point values at those keys. There are no Bézier handle targets in the measured archive. Shape birth/death must be first-class rather than an afterthought: 720 of 1,604 measured shapes have opacity-based births or deaths, so forcing every predicted shape to exist for the full element would misrepresent nearly half of the sample.</w:t>
      </w:r>
    </w:p>
    <w:p>
      <w:pPr/>
      <w:r>
        <w:t>The key idea is that point economy, lifespan, and keyframe economy are native outputs. We should not generate dense screen-space contours and simplify them after the fact; the model should recover the same structured program an artist would expect to edit.</w:t>
      </w:r>
    </w:p>
    <w:p>
      <w:pPr>
        <w:pStyle w:val="Heading2"/>
      </w:pPr>
      <w:r>
        <w:t>6.8 Keyframe timing and Catmull-Rom interpolation: likely the hardest ML problem</w:t>
      </w:r>
    </w:p>
    <w:p>
      <w:pPr/>
      <w:r>
        <w:t>Predicting where to key is a discrete, sparse, structured decision. The archive gives direct supervision for the artist's chosen key times, but raster fidelity depends on what happens between those keys. Every training/evaluation path therefore needs to reconstruct non-key frames with the same Catmull-Rom interpolation used by the archive and measure the rendered result there. Otherwise a model can place keys that look correct at sampled frames while drifting between them.</w:t>
      </w:r>
    </w:p>
    <w:p>
      <w:pPr/>
      <w:r>
        <w:t>A staged curriculum is the safest way to attack this. First teacher-force the artist keyframe times and learn transform/local geometry values. Then predict keyframe probabilities/times under a supervised timing loss while keeping raster checks at non-key frames. Only after that should we experiment with differentiable/relaxed key-selection mechanisms or stronger sparsity objectives. The research target is not simply fewer keys; it is few keys placed where an artist would intervene, with stable interpolation between them.</w:t>
      </w:r>
    </w:p>
    <w:p>
      <w:pPr>
        <w:pStyle w:val="Heading2"/>
      </w:pPr>
      <w:r>
        <w:t>6.9 DiffVG: renderer loss after native-to-Bézier conversion</w:t>
      </w:r>
    </w:p>
    <w:p>
      <w:pPr/>
      <w:r>
        <w:t>DiffVG itself has no trainable intelligence. For raster supervision, convert the predicted B-spline curves into mathematically equivalent piecewise cubic Bezier segments at render time, then pass those curves to DiffVG. This keeps the model and direct supervision in artist space while still using a mature differentiable cubic-path renderer. Its key role is to provide a decomposition-independent measure of visual correctness: different layer/shape programs can be valid if their complete rendered result matches the clean target.</w:t>
      </w:r>
    </w:p>
    <w:p>
      <w:pPr/>
      <w:r>
        <w:t>The raster loss should compare against the clean artist render. On Slapshot/degraded-alpha training, never use the degraded input as the raster target. Sample both key and non-key frames so error flows through the Catmull-Rom-interpolated program rather than only through explicit artist keys. DiffVG does not, however, tell us whether hidden interior seams, shape hierarchy, transform factorization, or point/key economy are artist-like when those choices do not change the final composite alpha. Those properties still come from teacher-forced direct supervision, native program priors, and economy/temporal objectives.</w:t>
      </w:r>
    </w:p>
    <w:p>
      <w:pPr>
        <w:pStyle w:val="SmallNote"/>
      </w:pPr>
      <w:r>
        <w:t>Permissive reference: DiffVG (Apache-2.0). It is a baseline renderer/loss component, not the spline-learning model.</w:t>
      </w:r>
    </w:p>
    <w:p>
      <w:pPr>
        <w:pStyle w:val="Heading2"/>
      </w:pPr>
      <w:r>
        <w:t>6.10 Losses: teach the native production program, not just the matte</w:t>
      </w:r>
    </w:p>
    <w:p>
      <w:pPr/>
      <w:r>
        <w:t>The archive provides much richer supervision than raster reconstruction alone. The objective should explicitly separate decomposition-independent visual correctness from direct program supervision where correspondence is known and from general production priors:</w:t>
      </w:r>
    </w:p>
    <w:p>
      <w:pPr>
        <w:pStyle w:val="ListBullet"/>
      </w:pPr>
      <w:r>
        <w:t>composite DiffVG raster loss: the primary visual-correctness signal once decomposition is free; compare the complete predicted element render with the clean artist alpha without requiring a one-to-one shape match;</w:t>
      </w:r>
    </w:p>
    <w:p>
      <w:pPr>
        <w:pStyle w:val="ListBullet"/>
      </w:pPr>
      <w:r>
        <w:t>direct program supervision where identity is known: during teacher-forced stages, compare the supplied historical layer/shape targets directly, including hierarchy, local geometry, transforms, lifespans, and key timing;</w:t>
      </w:r>
    </w:p>
    <w:p>
      <w:pPr>
        <w:pStyle w:val="ListBullet"/>
      </w:pPr>
      <w:r>
        <w:t>transform-track loss: predicted layer tracking/transform matrices versus the historical tracks where present;</w:t>
      </w:r>
    </w:p>
    <w:p>
      <w:pPr>
        <w:pStyle w:val="ListBullet"/>
      </w:pPr>
      <w:r>
        <w:t>shape existence/lifespan loss: birth/death/opacity behavior across the element;</w:t>
      </w:r>
    </w:p>
    <w:p>
      <w:pPr>
        <w:pStyle w:val="ListBullet"/>
      </w:pPr>
      <w:r>
        <w:t>native B-spline geometry loss: point count and local control-point placement, without synthetic Bezier handles, when the target shape identity is known;</w:t>
      </w:r>
    </w:p>
    <w:p>
      <w:pPr>
        <w:pStyle w:val="ListBullet"/>
      </w:pPr>
      <w:r>
        <w:t>keyframe timing/economy loss: when the artist keyed, how many keys were used, and unnecessary-key penalties;</w:t>
      </w:r>
    </w:p>
    <w:p>
      <w:pPr>
        <w:pStyle w:val="ListBullet"/>
      </w:pPr>
      <w:r>
        <w:t>temporal/local-deformation loss: penalize unnecessary residual point acceleration/chatter after transform motion is factored out;</w:t>
      </w:r>
    </w:p>
    <w:p>
      <w:pPr>
        <w:pStyle w:val="ListBullet"/>
      </w:pPr>
      <w:r>
        <w:t>optional semantic loss: weak layer-name or VLM labels, with conditioning dropout so the base task does not depend on them;</w:t>
      </w:r>
    </w:p>
    <w:p>
      <w:pPr>
        <w:pStyle w:val="ListBullet"/>
      </w:pPr>
      <w:r>
        <w:t>complexity/economy priors: discourage excess layers, shapes, points, or keys when they do not improve the rendered result, without forcing the prediction to reproduce one exact historical breakdown.</w:t>
      </w:r>
    </w:p>
    <w:p>
      <w:pPr>
        <w:pStyle w:val="SmallNote"/>
      </w:pPr>
      <w:r>
        <w:t>Do not use a global Hungarian assignment as the definition of correctness. The historical program is one valid production solution, not necessarily the only valid solution. Matching can still be explored locally in an optional set-decoder ablation, but the main training path should not penalize a coherent alternative breakdown simply because it lacks a one-to-one correspondence with the artist's shapes.</w:t>
      </w:r>
    </w:p>
    <w:p>
      <w:pPr>
        <w:pStyle w:val="Heading2"/>
      </w:pPr>
      <w:r>
        <w:t>6.11 What one training step looks like</w:t>
      </w:r>
    </w:p>
    <w:p>
      <w:pPr/>
      <w:r>
        <w:t>1.  Load one element: aligned clean or Slapshot alpha frames, RGB frames when available, optional weak semantic labels, and the ground-truth native Hotspring roto program.</w:t>
      </w:r>
    </w:p>
    <w:p>
      <w:pPr/>
      <w:r>
        <w:t>2.  Encode the alpha geometry and optional RGB evidence into a fused spatiotemporal representation. Apply RGB/semantic dropout according to the ablation schedule.</w:t>
      </w:r>
    </w:p>
    <w:p>
      <w:pPr/>
      <w:r>
        <w:t>3.  Decode the layer hierarchy and transform tracks, then generate the shapes within each layer. In the teacher-forced stages, the historical identities are supplied; in the free-decomposition stage, generate the structure autoregressively so later shape decisions are conditioned on the breakdown already produced.</w:t>
      </w:r>
    </w:p>
    <w:p>
      <w:pPr/>
      <w:r>
        <w:t>4.  For each shape, predict native B-spline points, lifespan/opacity, sparse key timing, and local deformation values.</w:t>
      </w:r>
    </w:p>
    <w:p>
      <w:pPr/>
      <w:r>
        <w:t>5.  Where historical identity is known, compare the structured prediction directly with the corresponding artist program: transforms, lifespans, native B-spline points, and key timing. When decomposition is free, do not force a global one-to-one shape assignment.</w:t>
      </w:r>
    </w:p>
    <w:p>
      <w:pPr/>
      <w:r>
        <w:t>6.  Evaluate the complete predicted element at sampled key and non-key frames using Catmull-Rom interpolation, convert B-splines to cubic Bezier segments, render with DiffVG, and compare with the clean artist alpha. This composite render loss remains valid even when the model chooses a different but visually correct breakdown.</w:t>
      </w:r>
    </w:p>
    <w:p>
      <w:pPr/>
      <w:r>
        <w:t>7.  Backpropagate the combined error into the trainable encoder/decoder. DiffVG carries raster gradients through the render boundary; it does not learn.</w:t>
      </w:r>
    </w:p>
    <w:p w14:paraId="132D1805" w14:textId="77777777" w:rsidR="00F031A4" w:rsidRDefault="00000000">
      <w:pPr>
        <w:pStyle w:val="Heading2"/>
        <w:spacing w:before="140"/>
      </w:pPr>
      <w:r>
        <w:t>6.12 Permissive projects worth using as references</w:t>
      </w:r>
    </w:p>
    <w:tbl>
      <w:tblPr>
        <w:tblStyle w:val="TableGrid"/>
        <w:tblW w:w="0" w:type="auto"/>
        <w:jc w:val="center"/>
        <w:tblLook w:val="04A0" w:firstRow="1" w:lastRow="0" w:firstColumn="1" w:lastColumn="0" w:noHBand="0" w:noVBand="1"/>
      </w:tblPr>
      <w:tblGrid>
        <w:gridCol w:w="2078"/>
        <w:gridCol w:w="2446"/>
        <w:gridCol w:w="1874"/>
        <w:gridCol w:w="3754"/>
      </w:tblGrid>
      <w:tr w:rsidR="00F031A4" w14:paraId="53B4124E" w14:textId="77777777">
        <w:trPr>
          <w:cantSplit/>
          <w:tblHeader/>
          <w:jc w:val="center"/>
        </w:trPr>
        <w:tc>
          <w:tcPr>
            <w:tcW w:w="1800" w:type="dxa"/>
            <w:shd w:val="clear" w:color="auto" w:fill="DCE6F1"/>
            <w:vAlign w:val="center"/>
          </w:tcPr>
          <w:p w14:paraId="43FF4524" w14:textId="77777777" w:rsidR="00F031A4" w:rsidRDefault="00000000">
            <w:r>
              <w:rPr>
                <w:b/>
                <w:sz w:val="18"/>
              </w:rPr>
              <w:t>Component</w:t>
            </w:r>
          </w:p>
        </w:tc>
        <w:tc>
          <w:tcPr>
            <w:tcW w:w="1944" w:type="dxa"/>
            <w:shd w:val="clear" w:color="auto" w:fill="DCE6F1"/>
            <w:vAlign w:val="center"/>
          </w:tcPr>
          <w:p w14:paraId="330C614D" w14:textId="77777777" w:rsidR="00F031A4" w:rsidRDefault="00000000">
            <w:r>
              <w:rPr>
                <w:b/>
                <w:sz w:val="18"/>
              </w:rPr>
              <w:t>Reference project</w:t>
            </w:r>
          </w:p>
        </w:tc>
        <w:tc>
          <w:tcPr>
            <w:tcW w:w="1512" w:type="dxa"/>
            <w:shd w:val="clear" w:color="auto" w:fill="DCE6F1"/>
            <w:vAlign w:val="center"/>
          </w:tcPr>
          <w:p w14:paraId="7CFD9E09" w14:textId="77777777" w:rsidR="00F031A4" w:rsidRDefault="00000000">
            <w:r>
              <w:rPr>
                <w:b/>
                <w:sz w:val="18"/>
              </w:rPr>
              <w:t>License</w:t>
            </w:r>
          </w:p>
        </w:tc>
        <w:tc>
          <w:tcPr>
            <w:tcW w:w="4896" w:type="dxa"/>
            <w:shd w:val="clear" w:color="auto" w:fill="DCE6F1"/>
            <w:vAlign w:val="center"/>
          </w:tcPr>
          <w:p w14:paraId="28A4C205" w14:textId="77777777" w:rsidR="00F031A4" w:rsidRDefault="00000000">
            <w:r>
              <w:rPr>
                <w:b/>
                <w:sz w:val="18"/>
              </w:rPr>
              <w:t>How we use it</w:t>
            </w:r>
          </w:p>
        </w:tc>
      </w:tr>
      <w:tr w:rsidR="00F031A4" w14:paraId="0680D33A" w14:textId="77777777">
        <w:trPr>
          <w:cantSplit/>
          <w:jc w:val="center"/>
        </w:trPr>
        <w:tc>
          <w:tcPr>
            <w:tcW w:w="1800" w:type="dxa"/>
            <w:tcMar>
              <w:top w:w="80" w:type="dxa"/>
              <w:left w:w="90" w:type="dxa"/>
              <w:bottom w:w="80" w:type="dxa"/>
              <w:right w:w="90" w:type="dxa"/>
            </w:tcMar>
          </w:tcPr>
          <w:p>
            <w:r>
              <w:t>Training framework</w:t>
            </w:r>
          </w:p>
        </w:tc>
        <w:tc>
          <w:tcPr>
            <w:tcW w:w="1944" w:type="dxa"/>
            <w:tcMar>
              <w:top w:w="80" w:type="dxa"/>
              <w:left w:w="90" w:type="dxa"/>
              <w:bottom w:w="80" w:type="dxa"/>
              <w:right w:w="90" w:type="dxa"/>
            </w:tcMar>
          </w:tcPr>
          <w:p>
            <w:r>
              <w:t>PyTorch</w:t>
            </w:r>
          </w:p>
        </w:tc>
        <w:tc>
          <w:tcPr>
            <w:tcW w:w="1512" w:type="dxa"/>
            <w:tcMar>
              <w:top w:w="80" w:type="dxa"/>
              <w:left w:w="90" w:type="dxa"/>
              <w:bottom w:w="80" w:type="dxa"/>
              <w:right w:w="90" w:type="dxa"/>
            </w:tcMar>
          </w:tcPr>
          <w:p>
            <w:r>
              <w:t>BSD-3-Clause</w:t>
            </w:r>
          </w:p>
        </w:tc>
        <w:tc>
          <w:tcPr>
            <w:tcW w:w="4896" w:type="dxa"/>
            <w:tcMar>
              <w:top w:w="80" w:type="dxa"/>
              <w:left w:w="90" w:type="dxa"/>
              <w:bottom w:w="80" w:type="dxa"/>
              <w:right w:w="90" w:type="dxa"/>
            </w:tcMar>
          </w:tcPr>
          <w:p>
            <w:r>
              <w:t>Core tensor/autograd/training stack.</w:t>
            </w:r>
          </w:p>
        </w:tc>
      </w:tr>
      <w:tr w:rsidR="00F031A4" w14:paraId="1AED177B" w14:textId="77777777">
        <w:trPr>
          <w:cantSplit/>
          <w:jc w:val="center"/>
        </w:trPr>
        <w:tc>
          <w:tcPr>
            <w:tcW w:w="1800" w:type="dxa"/>
            <w:tcMar>
              <w:top w:w="80" w:type="dxa"/>
              <w:left w:w="90" w:type="dxa"/>
              <w:bottom w:w="80" w:type="dxa"/>
              <w:right w:w="90" w:type="dxa"/>
            </w:tcMar>
          </w:tcPr>
          <w:p>
            <w:r>
              <w:t>Matte/geometry encoder</w:t>
            </w:r>
          </w:p>
        </w:tc>
        <w:tc>
          <w:tcPr>
            <w:tcW w:w="1944" w:type="dxa"/>
            <w:tcMar>
              <w:top w:w="80" w:type="dxa"/>
              <w:left w:w="90" w:type="dxa"/>
              <w:bottom w:w="80" w:type="dxa"/>
              <w:right w:w="90" w:type="dxa"/>
            </w:tcMar>
          </w:tcPr>
          <w:p>
            <w:r>
              <w:t>Custom PyTorch blocks</w:t>
            </w:r>
          </w:p>
        </w:tc>
        <w:tc>
          <w:tcPr>
            <w:tcW w:w="1512" w:type="dxa"/>
            <w:tcMar>
              <w:top w:w="80" w:type="dxa"/>
              <w:left w:w="90" w:type="dxa"/>
              <w:bottom w:w="80" w:type="dxa"/>
              <w:right w:w="90" w:type="dxa"/>
            </w:tcMar>
          </w:tcPr>
          <w:p>
            <w:r>
              <w:t>BSD-3-Clause (PyTorch)</w:t>
            </w:r>
          </w:p>
        </w:tc>
        <w:tc>
          <w:tcPr>
            <w:tcW w:w="4896" w:type="dxa"/>
            <w:tcMar>
              <w:top w:w="80" w:type="dxa"/>
              <w:left w:w="90" w:type="dxa"/>
              <w:bottom w:w="80" w:type="dxa"/>
              <w:right w:w="90" w:type="dxa"/>
            </w:tcMar>
          </w:tcPr>
          <w:p>
            <w:r>
              <w:t>Encode element alpha, distance/boundary features, and temporal geometry; train our weights from scratch.</w:t>
            </w:r>
          </w:p>
        </w:tc>
      </w:tr>
      <w:tr w:rsidR="00F031A4" w14:paraId="44981A25" w14:textId="77777777">
        <w:trPr>
          <w:cantSplit/>
          <w:jc w:val="center"/>
        </w:trPr>
        <w:tc>
          <w:tcPr>
            <w:tcW w:w="1800" w:type="dxa"/>
            <w:tcMar>
              <w:top w:w="80" w:type="dxa"/>
              <w:left w:w="90" w:type="dxa"/>
              <w:bottom w:w="80" w:type="dxa"/>
              <w:right w:w="90" w:type="dxa"/>
            </w:tcMar>
          </w:tcPr>
          <w:p>
            <w:r>
              <w:t>RGB encoder</w:t>
            </w:r>
          </w:p>
        </w:tc>
        <w:tc>
          <w:tcPr>
            <w:tcW w:w="1944" w:type="dxa"/>
            <w:tcMar>
              <w:top w:w="80" w:type="dxa"/>
              <w:left w:w="90" w:type="dxa"/>
              <w:bottom w:w="80" w:type="dxa"/>
              <w:right w:w="90" w:type="dxa"/>
            </w:tcMar>
          </w:tcPr>
          <w:p>
            <w:r>
              <w:t>Microsoft Swin Transformer</w:t>
            </w:r>
          </w:p>
        </w:tc>
        <w:tc>
          <w:tcPr>
            <w:tcW w:w="1512" w:type="dxa"/>
            <w:tcMar>
              <w:top w:w="80" w:type="dxa"/>
              <w:left w:w="90" w:type="dxa"/>
              <w:bottom w:w="80" w:type="dxa"/>
              <w:right w:w="90" w:type="dxa"/>
            </w:tcMar>
          </w:tcPr>
          <w:p>
            <w:r>
              <w:t>MIT</w:t>
            </w:r>
          </w:p>
        </w:tc>
        <w:tc>
          <w:tcPr>
            <w:tcW w:w="4896" w:type="dxa"/>
            <w:tcMar>
              <w:top w:w="80" w:type="dxa"/>
              <w:left w:w="90" w:type="dxa"/>
              <w:bottom w:w="80" w:type="dxa"/>
              <w:right w:w="90" w:type="dxa"/>
            </w:tcMar>
          </w:tcPr>
          <w:p>
            <w:r>
              <w:t>Optional high-resolution/multiscale RGB evidence around the target and boundaries; use modality dropout and train our weights on paired data.</w:t>
            </w:r>
          </w:p>
        </w:tc>
      </w:tr>
      <w:tr w:rsidR="00F031A4" w14:paraId="202060FB" w14:textId="77777777">
        <w:trPr>
          <w:cantSplit/>
          <w:jc w:val="center"/>
        </w:trPr>
        <w:tc>
          <w:tcPr>
            <w:tcW w:w="1800" w:type="dxa"/>
            <w:tcMar>
              <w:top w:w="80" w:type="dxa"/>
              <w:left w:w="90" w:type="dxa"/>
              <w:bottom w:w="80" w:type="dxa"/>
              <w:right w:w="90" w:type="dxa"/>
            </w:tcMar>
          </w:tcPr>
          <w:p>
            <w:r>
              <w:t>Autoregressive decomposition</w:t>
            </w:r>
          </w:p>
        </w:tc>
        <w:tc>
          <w:tcPr>
            <w:tcW w:w="1944" w:type="dxa"/>
            <w:tcMar>
              <w:top w:w="80" w:type="dxa"/>
              <w:left w:w="90" w:type="dxa"/>
              <w:bottom w:w="80" w:type="dxa"/>
              <w:right w:w="90" w:type="dxa"/>
            </w:tcMar>
          </w:tcPr>
          <w:p>
            <w:r>
              <w:t>DeepSVG</w:t>
            </w:r>
          </w:p>
        </w:tc>
        <w:tc>
          <w:tcPr>
            <w:tcW w:w="1512" w:type="dxa"/>
            <w:tcMar>
              <w:top w:w="80" w:type="dxa"/>
              <w:left w:w="90" w:type="dxa"/>
              <w:bottom w:w="80" w:type="dxa"/>
              <w:right w:w="90" w:type="dxa"/>
            </w:tcMar>
          </w:tcPr>
          <w:p>
            <w:r>
              <w:t>MIT</w:t>
            </w:r>
          </w:p>
        </w:tc>
        <w:tc>
          <w:tcPr>
            <w:tcW w:w="4896" w:type="dxa"/>
            <w:tcMar>
              <w:top w:w="80" w:type="dxa"/>
              <w:left w:w="90" w:type="dxa"/>
              <w:bottom w:w="80" w:type="dxa"/>
              <w:right w:w="90" w:type="dxa"/>
            </w:tcMar>
          </w:tcPr>
          <w:p>
            <w:r>
              <w:t>Primary reference for hierarchical/sequential layer-shape generation once teacher forcing is removed; commits to one coherent breakdown without requiring global one-to-one assignment.</w:t>
            </w:r>
          </w:p>
        </w:tc>
      </w:tr>
      <w:tr w:rsidR="00F031A4" w14:paraId="09C749F7" w14:textId="77777777">
        <w:trPr>
          <w:cantSplit/>
          <w:jc w:val="center"/>
        </w:trPr>
        <w:tc>
          <w:tcPr>
            <w:tcW w:w="1800" w:type="dxa"/>
            <w:tcMar>
              <w:top w:w="80" w:type="dxa"/>
              <w:left w:w="90" w:type="dxa"/>
              <w:bottom w:w="80" w:type="dxa"/>
              <w:right w:w="90" w:type="dxa"/>
            </w:tcMar>
          </w:tcPr>
          <w:p>
            <w:r>
              <w:t>Optional set-decoder comparison</w:t>
            </w:r>
          </w:p>
        </w:tc>
        <w:tc>
          <w:tcPr>
            <w:tcW w:w="1944" w:type="dxa"/>
            <w:tcMar>
              <w:top w:w="80" w:type="dxa"/>
              <w:left w:w="90" w:type="dxa"/>
              <w:bottom w:w="80" w:type="dxa"/>
              <w:right w:w="90" w:type="dxa"/>
            </w:tcMar>
          </w:tcPr>
          <w:p>
            <w:r>
              <w:t>DETR</w:t>
            </w:r>
          </w:p>
        </w:tc>
        <w:tc>
          <w:tcPr>
            <w:tcW w:w="1512" w:type="dxa"/>
            <w:tcMar>
              <w:top w:w="80" w:type="dxa"/>
              <w:left w:w="90" w:type="dxa"/>
              <w:bottom w:w="80" w:type="dxa"/>
              <w:right w:w="90" w:type="dxa"/>
            </w:tcMar>
          </w:tcPr>
          <w:p>
            <w:r>
              <w:t>Apache-2.0</w:t>
            </w:r>
          </w:p>
        </w:tc>
        <w:tc>
          <w:tcPr>
            <w:tcW w:w="4896" w:type="dxa"/>
            <w:tcMar>
              <w:top w:w="80" w:type="dxa"/>
              <w:left w:w="90" w:type="dxa"/>
              <w:bottom w:w="80" w:type="dxa"/>
              <w:right w:w="90" w:type="dxa"/>
            </w:tcMar>
          </w:tcPr>
          <w:p>
            <w:r>
              <w:t>Element-level set/query baseline for ablation only; not the core decomposition objective because valid artist breakdowns can be multimodal.</w:t>
            </w:r>
          </w:p>
        </w:tc>
      </w:tr>
      <w:tr w:rsidR="00F031A4" w14:paraId="7EE4D240" w14:textId="77777777">
        <w:trPr>
          <w:cantSplit/>
          <w:jc w:val="center"/>
        </w:trPr>
        <w:tc>
          <w:tcPr>
            <w:tcW w:w="1800" w:type="dxa"/>
            <w:tcMar>
              <w:top w:w="80" w:type="dxa"/>
              <w:left w:w="90" w:type="dxa"/>
              <w:bottom w:w="80" w:type="dxa"/>
              <w:right w:w="90" w:type="dxa"/>
            </w:tcMar>
          </w:tcPr>
          <w:p>
            <w:r>
              <w:t>Native B-spline / transform decoder</w:t>
            </w:r>
          </w:p>
        </w:tc>
        <w:tc>
          <w:tcPr>
            <w:tcW w:w="1944" w:type="dxa"/>
            <w:tcMar>
              <w:top w:w="80" w:type="dxa"/>
              <w:left w:w="90" w:type="dxa"/>
              <w:bottom w:w="80" w:type="dxa"/>
              <w:right w:w="90" w:type="dxa"/>
            </w:tcMar>
          </w:tcPr>
          <w:p>
            <w:r>
              <w:t>Custom PyTorch</w:t>
            </w:r>
          </w:p>
        </w:tc>
        <w:tc>
          <w:tcPr>
            <w:tcW w:w="1512" w:type="dxa"/>
            <w:tcMar>
              <w:top w:w="80" w:type="dxa"/>
              <w:left w:w="90" w:type="dxa"/>
              <w:bottom w:w="80" w:type="dxa"/>
              <w:right w:w="90" w:type="dxa"/>
            </w:tcMar>
          </w:tcPr>
          <w:p>
            <w:r>
              <w:t>BSD-3-Clause (PyTorch)</w:t>
            </w:r>
          </w:p>
        </w:tc>
        <w:tc>
          <w:tcPr>
            <w:tcW w:w="4896" w:type="dxa"/>
            <w:tcMar>
              <w:top w:w="80" w:type="dxa"/>
              <w:left w:w="90" w:type="dxa"/>
              <w:bottom w:w="80" w:type="dxa"/>
              <w:right w:w="90" w:type="dxa"/>
            </w:tcMar>
          </w:tcPr>
          <w:p>
            <w:r>
              <w:t>Our core decoder: B-spline points, layer transform tracks, lifespans/opacity, sparse local keys, Catmull-Rom timing.</w:t>
            </w:r>
          </w:p>
        </w:tc>
      </w:tr>
      <w:tr w:rsidR="00F031A4" w14:paraId="2875B53A" w14:textId="77777777">
        <w:trPr>
          <w:jc w:val="center"/>
        </w:trPr>
        <w:tc>
          <w:tcPr>
            <w:tcW w:w="2484" w:type="dxa"/>
          </w:tcPr>
          <w:p>
            <w:r>
              <w:t>Optional semantic classifier</w:t>
            </w:r>
          </w:p>
        </w:tc>
        <w:tc>
          <w:tcPr>
            <w:tcW w:w="2484" w:type="dxa"/>
          </w:tcPr>
          <w:p>
            <w:r>
              <w:t>Qwen3-VL small Instruct</w:t>
            </w:r>
          </w:p>
        </w:tc>
        <w:tc>
          <w:tcPr>
            <w:tcW w:w="2484" w:type="dxa"/>
          </w:tcPr>
          <w:p>
            <w:r>
              <w:t>Apache-2.0 checkpoint</w:t>
            </w:r>
          </w:p>
        </w:tc>
        <w:tc>
          <w:tcPr>
            <w:tcW w:w="2484" w:type="dxa"/>
          </w:tcPr>
          <w:p>
            <w:r>
              <w:t>Offline enrichment of weak semantic labels; ablation only, not on the critical path. Verify exact checkpoint terms.</w:t>
            </w:r>
          </w:p>
        </w:tc>
      </w:tr>
      <w:tr w:rsidR="00F031A4" w14:paraId="6E4E2A93" w14:textId="77777777">
        <w:trPr>
          <w:jc w:val="center"/>
        </w:trPr>
        <w:tc>
          <w:tcPr>
            <w:tcW w:w="2484" w:type="dxa"/>
          </w:tcPr>
          <w:p>
            <w:r>
              <w:t>Differentiable renderer</w:t>
            </w:r>
          </w:p>
        </w:tc>
        <w:tc>
          <w:tcPr>
            <w:tcW w:w="2484" w:type="dxa"/>
          </w:tcPr>
          <w:p>
            <w:r>
              <w:t>DiffVG</w:t>
            </w:r>
          </w:p>
        </w:tc>
        <w:tc>
          <w:tcPr>
            <w:tcW w:w="2484" w:type="dxa"/>
          </w:tcPr>
          <w:p>
            <w:r>
              <w:t>Apache-2.0</w:t>
            </w:r>
          </w:p>
        </w:tc>
        <w:tc>
          <w:tcPr>
            <w:tcW w:w="2484" w:type="dxa"/>
          </w:tcPr>
          <w:p>
            <w:r>
              <w:t>Raster reconstruction loss after exact B-spline-to-cubic-Bézier conversion; not the learning model.</w:t>
            </w:r>
          </w:p>
        </w:tc>
      </w:tr>
    </w:tbl>
    <w:p w14:paraId="47C42F9B" w14:textId="77777777" w:rsidR="00F031A4" w:rsidRDefault="00000000">
      <w:pPr>
        <w:pStyle w:val="SmallNote"/>
      </w:pPr>
      <w:r>
        <w:t>License note: these are code-license checks for the referenced projects, not legal advice. Pretrained weights and datasets can carry separate terms from the code repository; avoid them unless the exact artifact has been reviewed for commercial use. The native B-spline/transform/lifespan decoder is custom and trained on Hotspring data.</w:t>
      </w:r>
    </w:p>
    <w:p w14:paraId="4C631DDB" w14:textId="77777777" w:rsidR="00F031A4" w:rsidRDefault="00000000">
      <w:pPr>
        <w:pStyle w:val="Heading1"/>
        <w:spacing w:before="200" w:after="80"/>
      </w:pPr>
      <w:r>
        <w:t>7. What success looks like</w:t>
      </w:r>
    </w:p>
    <w:p w14:paraId="117D3E84" w14:textId="77777777" w:rsidR="00F031A4" w:rsidRDefault="00000000">
      <w:r>
        <w:t>The first milestone is not unconstrained RGB-to-roto autonomy. It is evidence that an element-level model can recover Hotspring's native production representation from alpha, with RGB providing measurable uplift when available, and that the result is materially closer to professional artist construction than generic per-frame vectorization.</w:t>
      </w:r>
    </w:p>
    <w:p w14:paraId="0CD40D45" w14:textId="77777777" w:rsidR="00F031A4" w:rsidRDefault="00000000">
      <w:pPr>
        <w:pStyle w:val="ListBullet"/>
      </w:pPr>
      <w:r>
        <w:t>Matte fidelity: the predicted native program renders closely to the clean artist alpha, including at non-key frames.</w:t>
      </w:r>
    </w:p>
    <w:p w14:paraId="3E0DD633" w14:textId="77777777" w:rsidR="00F031A4" w:rsidRDefault="00000000">
      <w:pPr>
        <w:pStyle w:val="ListBullet"/>
      </w:pPr>
      <w:r>
        <w:t>Temporal stability: low visible boundary jitter and low drift under Catmull-Rom interpolation.</w:t>
      </w:r>
    </w:p>
    <w:p w14:paraId="33DF3CF8" w14:textId="77777777" w:rsidR="00F031A4" w:rsidRDefault="00000000">
      <w:pPr>
        <w:pStyle w:val="ListBullet"/>
      </w:pPr>
      <w:r>
        <w:t>Native structure quality: useful element/layer/shape breakdown, sensible hierarchy, and correct shape membership rather than a single blobby contour.</w:t>
      </w:r>
    </w:p>
    <w:p w14:paraId="1632B2CA" w14:textId="77777777" w:rsidR="00F031A4" w:rsidRDefault="00000000">
      <w:pPr>
        <w:pStyle w:val="ListBullet"/>
      </w:pPr>
      <w:r>
        <w:t>Spline economy: artist-like B-spline point counts without manufactured Bézier handles or overfit contours.</w:t>
      </w:r>
    </w:p>
    <w:p w14:paraId="3201A7CE" w14:textId="77777777" w:rsidR="00F031A4" w:rsidRDefault="00000000">
      <w:pPr>
        <w:pStyle w:val="ListBullet"/>
      </w:pPr>
      <w:r>
        <w:t>Motion/key economy: gross motion is carried by layer transforms where appropriate, with sparse local keys placed near meaningful deformation or pose changes.</w:t>
      </w:r>
    </w:p>
    <w:p w14:paraId="048F5B10" w14:textId="77777777" w:rsidR="00F031A4" w:rsidRDefault="00000000">
      <w:pPr>
        <w:pStyle w:val="ListBullet"/>
      </w:pPr>
      <w:r>
        <w:t>Lifespan and robustness: shape births/deaths are represented correctly, and Slapshot inference chatter is removed rather than baked into the splines.</w:t>
      </w:r>
    </w:p>
    <w:p w14:paraId="0AA52465" w14:textId="77777777" w:rsidR="00F031A4" w:rsidRDefault="00000000">
      <w:pPr>
        <w:pStyle w:val="ListBullet"/>
      </w:pPr>
      <w:r>
        <w:t>RGB recovery and matte-only resilience: when Slapshot omits visible fine structure, RGB evidence should recover artist-ground-truth detail; when RGB is unavailable, the matte-only ablation should still produce useful native roto.</w:t>
      </w:r>
    </w:p>
    <w:p w14:paraId="7C71F747" w14:textId="77777777" w:rsidR="00F031A4" w:rsidRDefault="00000000">
      <w:pPr>
        <w:pStyle w:val="ListBullet"/>
      </w:pPr>
      <w:r>
        <w:t>Artist correction time: the decisive metric - how much work remains before a professional considers the spline file usable.</w:t>
      </w:r>
    </w:p>
    <w:p w14:paraId="3B284EA9" w14:textId="77777777" w:rsidR="00F031A4" w:rsidRDefault="00000000">
      <w:pPr>
        <w:pStyle w:val="Heading1"/>
        <w:spacing w:before="200" w:after="80"/>
      </w:pPr>
      <w:r>
        <w:t>8. Recommended first implementation cut</w:t>
      </w:r>
    </w:p>
    <w:p>
      <w:pPr/>
      <w:r>
        <w:t>1.  Choose a representative subset of Hotspring elements and inventory exactly what the source files preserve: B-spline type/points, layer hierarchy, tracking matrices, opacity/lifespans, keys, Catmull-Rom timing, and RGB availability/rights.</w:t>
      </w:r>
    </w:p>
    <w:p>
      <w:pPr/>
      <w:r>
        <w:t>2.  Define the native roto IR and demonstrate reliable parse -&gt; IR -&gt; production-equivalent render round-tripping, including transforms, births/deaths, and non-key-frame interpolation.</w:t>
      </w:r>
    </w:p>
    <w:p>
      <w:pPr/>
      <w:r>
        <w:t>3.  Build the first teacher-forced learning test on clean artist alpha (+ RGB where available): provide the historical layer/shape breakdown and initially learn transform tracks, lifespans, local B-spline animation, and keyframe values/timing.</w:t>
      </w:r>
    </w:p>
    <w:p>
      <w:pPr/>
      <w:r>
        <w:t>4.  Maintain matte-only and RGB-conditioned variants through modality dropout from the start. Use existing Hotspring layer names as optional weak semantics; do not require a VLM for the baseline.</w:t>
      </w:r>
    </w:p>
    <w:p>
      <w:pPr/>
      <w:r>
        <w:t>5.  Progressively remove teacher inputs so the model must infer layer/shape decomposition itself. Use autoregressive hierarchical generation as the primary working direction, with the complete DiffVG-rendered element as the decomposition-independent visual target and structural/economy priors guiding editability. Keep a DETR-style set decoder only as a comparison ablation at element scale.</w:t>
      </w:r>
    </w:p>
    <w:p>
      <w:pPr/>
      <w:r>
        <w:t>6.  Once clean inverse rendering is working, create deployment-aligned training pairs by running the historical element RGB sequences through Slapshot Roto and training RGB + predicted alpha -&gt; the original native Hotspring program. Keep the raster target as the clean artist render.</w:t>
      </w:r>
    </w:p>
    <w:p>
      <w:pPr/>
      <w:r>
        <w:t>7.  Treat keyframe timing as its own research milestone: evaluate raster fidelity on non-key frames under Catmull-Rom interpolation, not only at explicit keys, and measure whether the model preserves the archive's sparse-key economy.</w:t>
      </w:r>
    </w:p>
    <w:p>
      <w:pPr/>
      <w:r>
        <w:t>8.  Only after the base geometry model is working, run a semantic-conditioning ablation using weak layer-name labels and optionally a small permissive VLM to determine whether semantics materially improve decomposition or motion priors.</w:t>
      </w:r>
    </w:p>
    <w:p>
      <w:pPr/>
      <w:r>
        <w:t>9.  Compare against a naive per-frame contour/vectorization baseline using clean-alpha error, non-key drift, layer/shape/point/key counts, transform usage, lifespan accuracy, and - most importantly - artist correction time.</w:t>
      </w:r>
    </w:p>
    <w:p w14:paraId="2630A7CB" w14:textId="77777777" w:rsidR="00F031A4" w:rsidRDefault="00000000">
      <w:pPr>
        <w:pStyle w:val="Heading1"/>
        <w:spacing w:before="200" w:after="80"/>
      </w:pPr>
      <w:r>
        <w:t>Technical references</w:t>
      </w:r>
    </w:p>
    <w:p w14:paraId="33A1E559" w14:textId="77777777" w:rsidR="00F031A4" w:rsidRDefault="00000000">
      <w:pPr>
        <w:pStyle w:val="SmallNote"/>
      </w:pPr>
      <w:hyperlink r:id="rId12">
        <w:r>
          <w:rPr>
            <w:color w:val="3B67A0"/>
            <w:u w:val="single"/>
          </w:rPr>
          <w:t>PyTorch (BSD-3-Clause)</w:t>
        </w:r>
      </w:hyperlink>
    </w:p>
    <w:p w14:paraId="64E84F90" w14:textId="77777777" w:rsidR="00F031A4" w:rsidRDefault="00000000">
      <w:pPr>
        <w:pStyle w:val="SmallNote"/>
      </w:pPr>
      <w:r>
        <w:t>PySlowFast (Apache-2.0) - optional spatiotemporal architecture reference, not required for baseline</w:t>
      </w:r>
    </w:p>
    <w:p w14:paraId="3F41250C" w14:textId="77777777" w:rsidR="00F031A4" w:rsidRDefault="00000000">
      <w:pPr>
        <w:pStyle w:val="SmallNote"/>
      </w:pPr>
      <w:r>
        <w:t>Microsoft Swin Transformer (MIT) - optional RGB encoder architecture</w:t>
      </w:r>
    </w:p>
    <w:p w14:paraId="4137201D" w14:textId="77777777" w:rsidR="00F031A4" w:rsidRDefault="00000000">
      <w:pPr>
        <w:pStyle w:val="SmallNote"/>
      </w:pPr>
      <w:r>
        <w:t>Qwen3-VL small Instruct checkpoints (Apache-2.0 where published; verify exact selected checkpoint) - optional semantic ablation</w:t>
      </w:r>
    </w:p>
    <w:p w14:paraId="7AD7E1CE" w14:textId="77777777" w:rsidR="00F031A4" w:rsidRDefault="00000000">
      <w:pPr>
        <w:pStyle w:val="SmallNote"/>
      </w:pPr>
      <w:r>
        <w:t>DeepSVG (MIT) - primary hierarchical/autoregressive vector-generation reference for free decomposition</w:t>
      </w:r>
    </w:p>
    <w:p w14:paraId="46FEA3E8" w14:textId="77777777" w:rsidR="00F031A4" w:rsidRDefault="00000000">
      <w:pPr>
        <w:pStyle w:val="SmallNote"/>
      </w:pPr>
      <w:r>
        <w:t>DETR (Apache-2.0) - optional element-level set-decoder comparison baseline</w:t>
      </w:r>
    </w:p>
    <w:p w14:paraId="31E2CFBA" w14:textId="77777777" w:rsidR="00F031A4" w:rsidRDefault="00000000">
      <w:pPr>
        <w:pStyle w:val="SmallNote"/>
      </w:pPr>
      <w:r>
        <w:t>DiffVG (Apache-2.0) - differentiable cubic-path renderer after B-spline conversion</w:t>
      </w:r>
    </w:p>
    <w:p w14:paraId="1198FD17" w14:textId="77777777" w:rsidR="00F031A4" w:rsidRDefault="00000000">
      <w:pPr>
        <w:pStyle w:val="SmallNote"/>
      </w:pPr>
      <w:hyperlink r:id="rId18">
        <w:r>
          <w:rPr>
            <w:color w:val="3B67A0"/>
            <w:u w:val="single"/>
          </w:rPr>
          <w:t>SAM 3 license (custom SAM License; separate review)</w:t>
        </w:r>
      </w:hyperlink>
    </w:p>
    <w:p w14:paraId="35320E9B" w14:textId="77777777" w:rsidR="00F031A4" w:rsidRDefault="00000000">
      <w:pPr>
        <w:pStyle w:val="SmallNote"/>
      </w:pPr>
      <w:hyperlink r:id="rId19">
        <w:r>
          <w:rPr>
            <w:color w:val="3B67A0"/>
            <w:u w:val="single"/>
          </w:rPr>
          <w:t>fxguide: The Art of Roto</w:t>
        </w:r>
      </w:hyperlink>
    </w:p>
    <w:p w14:paraId="5C673370" w14:textId="77777777" w:rsidR="00F031A4" w:rsidRDefault="00000000">
      <w:pPr>
        <w:pStyle w:val="SmallNote"/>
      </w:pPr>
      <w:hyperlink r:id="rId20">
        <w:r>
          <w:rPr>
            <w:color w:val="3B67A0"/>
            <w:u w:val="single"/>
          </w:rPr>
          <w:t>Boris FX rotoscoping overview/examples</w:t>
        </w:r>
      </w:hyperlink>
    </w:p>
    <w:p w14:paraId="7E2D3570" w14:textId="77777777" w:rsidR="00F031A4" w:rsidRDefault="00000000">
      <w:r>
        <w:t>This is intentionally a context and direction document rather than a fixed implementation specification. The immediate engineering goal is to validate that Hotspring's native production representation - B-spline geometry, tracked layer motion, shape lifespans, and sparse Catmull-Rom-interpolated keys - is learnable at the element level from alpha sequences, with RGB and semantics treated as measurable conditioning uplifts rather than assumptions. The highest-risk ML question is sparse keyframe timing under interpolation. The other central architecture question is how to generate one coherent production-valid decomposition without treating one historical artist breakdown as unique ground truth; the current preference is teacher-forced direct supervision first, then autoregressive free decomposition with DiffVG judging complete rendered fidelity.</w:t>
      </w:r>
    </w:p>
    <w:sectPr w:rsidR="00F031A4" w:rsidSect="00034616">
      <w:headerReference w:type="default" r:id="rId21"/>
      <w:footerReference w:type="default" r:id="rId22"/>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A0BF4" w14:textId="77777777" w:rsidR="008A5B46" w:rsidRDefault="008A5B46">
      <w:pPr>
        <w:spacing w:after="0" w:line="240" w:lineRule="auto"/>
      </w:pPr>
      <w:r>
        <w:separator/>
      </w:r>
    </w:p>
  </w:endnote>
  <w:endnote w:type="continuationSeparator" w:id="0">
    <w:p w14:paraId="31E892FE" w14:textId="77777777" w:rsidR="008A5B46" w:rsidRDefault="008A5B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 w:name="Aptos Mono">
    <w:panose1 w:val="020B0009020202020204"/>
    <w:charset w:val="00"/>
    <w:family w:val="modern"/>
    <w:pitch w:val="fixed"/>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6D40C" w14:textId="77777777" w:rsidR="00F031A4" w:rsidRDefault="00000000">
    <w:pPr>
      <w:pStyle w:val="Footer"/>
      <w:jc w:val="center"/>
    </w:pPr>
    <w:r>
      <w:rPr>
        <w:color w:val="5F6978"/>
        <w:sz w:val="16"/>
      </w:rPr>
      <w:t xml:space="preserve">Spline Rotoscoping </w:t>
    </w:r>
    <w:proofErr w:type="gramStart"/>
    <w:r>
      <w:rPr>
        <w:color w:val="5F6978"/>
        <w:sz w:val="16"/>
      </w:rPr>
      <w:t>Model  |</w:t>
    </w:r>
    <w:proofErr w:type="gramEnd"/>
    <w:r>
      <w:rPr>
        <w:color w:val="5F6978"/>
        <w:sz w:val="16"/>
      </w:rPr>
      <w:t xml:space="preserve">  August </w:t>
    </w:r>
    <w:proofErr w:type="gramStart"/>
    <w:r>
      <w:rPr>
        <w:color w:val="5F6978"/>
        <w:sz w:val="16"/>
      </w:rPr>
      <w:t>2026  |</w:t>
    </w:r>
    <w:proofErr w:type="gramEnd"/>
    <w:r>
      <w:rPr>
        <w:color w:val="5F6978"/>
        <w:sz w:val="16"/>
      </w:rPr>
      <w:t xml:space="preserve">  </w:t>
    </w:r>
    <w:r>
      <w:rPr>
        <w:color w:val="5F6978"/>
        <w:sz w:val="16"/>
      </w:rPr>
      <w:fldChar w:fldCharType="begin"/>
    </w:r>
    <w:r>
      <w:rPr>
        <w:color w:val="5F6978"/>
        <w:sz w:val="16"/>
      </w:rPr>
      <w:instrText xml:space="preserve"> PAGE </w:instrText>
    </w:r>
    <w:r w:rsidR="001E65AA">
      <w:rPr>
        <w:color w:val="5F6978"/>
        <w:sz w:val="16"/>
      </w:rPr>
      <w:fldChar w:fldCharType="separate"/>
    </w:r>
    <w:r w:rsidR="001E65AA">
      <w:rPr>
        <w:noProof/>
        <w:color w:val="5F6978"/>
        <w:sz w:val="16"/>
      </w:rPr>
      <w:t>1</w:t>
    </w:r>
    <w:r>
      <w:rPr>
        <w:color w:val="5F6978"/>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92E723" w14:textId="77777777" w:rsidR="008A5B46" w:rsidRDefault="008A5B46">
      <w:pPr>
        <w:spacing w:after="0" w:line="240" w:lineRule="auto"/>
      </w:pPr>
      <w:r>
        <w:separator/>
      </w:r>
    </w:p>
  </w:footnote>
  <w:footnote w:type="continuationSeparator" w:id="0">
    <w:p w14:paraId="0B13112B" w14:textId="77777777" w:rsidR="008A5B46" w:rsidRDefault="008A5B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EEE92" w14:textId="77777777" w:rsidR="00F031A4" w:rsidRDefault="00000000">
    <w:pPr>
      <w:pStyle w:val="SmallNote"/>
      <w:jc w:val="right"/>
    </w:pPr>
    <w:proofErr w:type="gramStart"/>
    <w:r>
      <w:t>SLAPSHOT  |</w:t>
    </w:r>
    <w:proofErr w:type="gramEnd"/>
    <w:r>
      <w:t xml:space="preserve">  INTERNAL TECHNICAL CONTEXT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0622293">
    <w:abstractNumId w:val="8"/>
  </w:num>
  <w:num w:numId="2" w16cid:durableId="433787457">
    <w:abstractNumId w:val="6"/>
  </w:num>
  <w:num w:numId="3" w16cid:durableId="821392896">
    <w:abstractNumId w:val="5"/>
  </w:num>
  <w:num w:numId="4" w16cid:durableId="1999261046">
    <w:abstractNumId w:val="4"/>
  </w:num>
  <w:num w:numId="5" w16cid:durableId="473760938">
    <w:abstractNumId w:val="7"/>
  </w:num>
  <w:num w:numId="6" w16cid:durableId="286937468">
    <w:abstractNumId w:val="3"/>
  </w:num>
  <w:num w:numId="7" w16cid:durableId="344476919">
    <w:abstractNumId w:val="2"/>
  </w:num>
  <w:num w:numId="8" w16cid:durableId="835608739">
    <w:abstractNumId w:val="1"/>
  </w:num>
  <w:num w:numId="9" w16cid:durableId="472481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65AA"/>
    <w:rsid w:val="0029639D"/>
    <w:rsid w:val="00326F90"/>
    <w:rsid w:val="008A5B46"/>
    <w:rsid w:val="00AA1D8D"/>
    <w:rsid w:val="00B47730"/>
    <w:rsid w:val="00CB0664"/>
    <w:rsid w:val="00D23F0B"/>
    <w:rsid w:val="00F031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200478"/>
  <w14:defaultImageDpi w14:val="300"/>
  <w15:docId w15:val="{2ABBB361-8899-A744-8B3F-4A347F95B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320"/>
      <w:outlineLvl w:val="0"/>
    </w:pPr>
    <w:rPr>
      <w:rFonts w:asciiTheme="majorHAnsi" w:eastAsiaTheme="majorEastAsia" w:hAnsiTheme="majorHAnsi" w:cstheme="majorBidi"/>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F6B9A"/>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17202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17324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2">
    <w:name w:val="Subtitle2"/>
    <w:pPr>
      <w:spacing w:after="80"/>
    </w:pPr>
    <w:rPr>
      <w:rFonts w:ascii="Aptos" w:hAnsi="Aptos"/>
      <w:color w:val="5F6B76"/>
      <w:sz w:val="25"/>
    </w:rPr>
  </w:style>
  <w:style w:type="paragraph" w:customStyle="1" w:styleId="SmallNote">
    <w:name w:val="Small Note"/>
    <w:pPr>
      <w:spacing w:after="80"/>
    </w:pPr>
    <w:rPr>
      <w:rFonts w:ascii="Aptos" w:hAnsi="Aptos"/>
      <w:color w:val="5F6B76"/>
      <w:sz w:val="18"/>
    </w:rPr>
  </w:style>
  <w:style w:type="paragraph" w:customStyle="1" w:styleId="CalloutHead">
    <w:name w:val="Callout Head"/>
    <w:pPr>
      <w:spacing w:after="80"/>
    </w:pPr>
    <w:rPr>
      <w:rFonts w:ascii="Aptos" w:hAnsi="Aptos"/>
      <w:b/>
      <w:color w:val="17324D"/>
      <w:sz w:val="21"/>
    </w:rPr>
  </w:style>
  <w:style w:type="paragraph" w:customStyle="1" w:styleId="Codeish">
    <w:name w:val="Codeish"/>
    <w:pPr>
      <w:spacing w:after="80"/>
    </w:pPr>
    <w:rPr>
      <w:rFonts w:ascii="Aptos Mono" w:hAnsi="Aptos Mono"/>
      <w:color w:val="17202A"/>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facebookresearch/slowfast" TargetMode="External"/><Relationship Id="rId18" Type="http://schemas.openxmlformats.org/officeDocument/2006/relationships/hyperlink" Target="https://github.com/facebookresearch/sam3/blob/main/LICENSE"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github.com/pytorch/pytorch" TargetMode="External"/><Relationship Id="rId17" Type="http://schemas.openxmlformats.org/officeDocument/2006/relationships/hyperlink" Target="https://github.com/scipy/scipy" TargetMode="External"/><Relationship Id="rId2" Type="http://schemas.openxmlformats.org/officeDocument/2006/relationships/numbering" Target="numbering.xml"/><Relationship Id="rId16" Type="http://schemas.openxmlformats.org/officeDocument/2006/relationships/hyperlink" Target="https://github.com/BachiLi/diffvg" TargetMode="External"/><Relationship Id="rId20" Type="http://schemas.openxmlformats.org/officeDocument/2006/relationships/hyperlink" Target="https://borisfx.com/blog/what-is-rotoscope-animation-history-how-used-toda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orisfx.com/blog/what-is-rotoscope-animation-history-how-used-today/"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github.com/alexandre01/deepsvg" TargetMode="External"/><Relationship Id="rId23" Type="http://schemas.openxmlformats.org/officeDocument/2006/relationships/fontTable" Target="fontTable.xml"/><Relationship Id="rId10" Type="http://schemas.openxmlformats.org/officeDocument/2006/relationships/hyperlink" Target="https://www.fxguide.com/fxfeatured/the-art-of-roto-2011/" TargetMode="External"/><Relationship Id="rId19" Type="http://schemas.openxmlformats.org/officeDocument/2006/relationships/hyperlink" Target="https://www.fxguide.com/fxfeatured/the-art-of-roto-2011/"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facebookresearch/detr"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8</Pages>
  <Words>3586</Words>
  <Characters>20982</Characters>
  <Application>Microsoft Office Word</Application>
  <DocSecurity>0</DocSecurity>
  <Lines>361</Lines>
  <Paragraphs>209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24359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Learning Production Rotoscoping from Hotspring Spline Data - Detailed Technical Direction</dc:title>
  <dc:subject>Context and technical direction for training an alpha-to-spline production rotoscoping model</dc:subject>
  <dc:creator>Slapshot</dc:creator>
  <cp:keywords>rotoscoping, spline, DiffVG, machine learning, inverse rendering</cp:keywords>
  <dc:description>generated by python-docx</dc:description>
  <cp:lastModifiedBy>Jon Mason</cp:lastModifiedBy>
  <cp:revision>2</cp:revision>
  <dcterms:created xsi:type="dcterms:W3CDTF">2013-12-23T23:15:00Z</dcterms:created>
  <dcterms:modified xsi:type="dcterms:W3CDTF">2026-08-24T21:40:00Z</dcterms:modified>
  <cp:category/>
</cp:coreProperties>
</file>