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rewrite my draft research paper into a final, highly technical IEEE-format publication. Use the attached sample paper (Kawoosa et al.) as a structural guide, but strictly use MY project data, methodology, and results provided below.</w:t>
        <w:br/>
        <w:br/>
        <w:t>CRITICAL FORMATTING INSTRUCTIONS:</w:t>
        <w:br/>
        <w:t>1. IEEE Format: Use strict IEEE structure (two-column layout assumption, Roman numerals for main headings: I. INTRODUCTION, II. LITERATURE REVIEW, III. METHODOLOGY, IV. RESULTS, V. CONCLUSION).</w:t>
        <w:br/>
        <w:t>2. Formulas: You MUST include LaTeX mathematical derivations for SMOTE, Soft Voting Ensemble, Accuracy, Precision, Recall, F1-Score, and AUC-ROC in their respective sections.</w:t>
        <w:br/>
        <w:t>3. Figure Placeholders: Throughout the text, you MUST insert explicit placeholders (e.g., [INSERT FIG 1: CLASS IMBALANCE PIE CHART HERE]) exactly where the 10 images should go, accompanied by a formal IEEE-style figure caption.</w:t>
        <w:br/>
        <w:br/>
        <w:t>### MY PROJECT FACT SHEET &amp; FIGURE MAPPING</w:t>
        <w:br/>
        <w:br/>
        <w:t>I. INTRODUCTION &amp; II. LITERATURE REVIEW</w:t>
        <w:br/>
        <w:t>* Context: SGCC dataset, severe NTL losses.</w:t>
        <w:br/>
        <w:t>* Contribution: A 5-model Soft Voting Ensemble paired with a deployable Microservice architecture (React, Node.js, FastAPI) and a custom 8-measure heuristic explainability engine.</w:t>
        <w:br/>
        <w:br/>
        <w:t>III. METHODOLOGY</w:t>
        <w:br/>
        <w:t>* A. Dataset: 42,372 consumers, 1,034 days, 8.53% theft rate. -&gt; [INSERT FIG 1 HERE]</w:t>
        <w:br/>
        <w:t>* B. Data Pre-processing &amp; Imbalance: Add mathematical derivation for SMOTE oversampling here. Mention Cost-Sensitive learning and PR-curve threshold optimization. We did NOT use artificial attacks. -&gt; [INSERT FIG 2 HERE]</w:t>
        <w:br/>
        <w:t>* C. Feature Engineering: 47 features (Statistical, Temporal, Anomaly, Comparative). -&gt; [INSERT FIG 3 HERE]</w:t>
        <w:br/>
        <w:t>* D. Model Paradigms: Briefly define RF, XGBoost, DNN, Isolation Forest, and LSTM mathematically.</w:t>
        <w:br/>
        <w:t>* E. Ensemble Strategy (Core Contribution): Add the mathematical derivation for Soft Voting here.</w:t>
        <w:br/>
        <w:t>* F. Explainability: Mention SHAP and the custom 8-measure heuristic engine. -&gt; [INSERT FIG 4 HERE]</w:t>
        <w:br/>
        <w:br/>
        <w:t>IV. RESULTS AND DISCUSSION</w:t>
        <w:br/>
        <w:t>* Provide the LaTeX formulas for Precision, Recall, F1, and AUC.</w:t>
        <w:br/>
        <w:t xml:space="preserve">* A. Model Performance: Present the exact results table: Random Forest (AUC 0.793), XGBoost (AUC 0.785), DNN (AUC 0.786), IsoForest (AUC 0.587), LSTM (AUC 0.746). </w:t>
        <w:br/>
        <w:t>* The Winner: Soft Voting Ensemble achieved 89.88% Accuracy, 0.411 Precision, 0.435 Recall, 0.423 F1-Score, and 0.809 AUC-ROC. -&gt; [INSERT FIG 6 HERE] &amp; [INSERT FIG 7 HERE]</w:t>
        <w:br/>
        <w:t>* B. Cross-Validation Stability: 5-Fold Stratified. RF Mean Acc: 89.13% (+/-1.3%). XGBoost Mean Acc: 88.95% (+/-0.78%). -&gt; [INSERT FIG 5 HERE]</w:t>
        <w:br/>
        <w:t>* C. ROC and PR Curves: Discuss why PR is critical for imbalanced data. -&gt; [INSERT FIG 8] &amp; [INSERT FIG 9]</w:t>
        <w:br/>
        <w:t>* D. Confusion Matrix Analysis: For the Ensemble: 7,302 TN, 450 FP, 408 FN, 315 TP. Discuss the trade-off of false positives vs field inspection costs. -&gt; [INSERT FIG 10 HERE]</w:t>
        <w:br/>
        <w:br/>
        <w:t>V. CONCLUSION</w:t>
        <w:br/>
        <w:t>* Write in the past tense. Summarize the success of the 0.809 AUC-ROC ensemble and the successful deployment of the microservice dashboard architecture.</w:t>
        <w:br/>
      </w:r>
    </w:p>
    <w:p>
      <w:r>
        <w:br w:type="page"/>
      </w:r>
    </w:p>
    <w:p>
      <w:pPr>
        <w:pStyle w:val="Heading2"/>
      </w:pPr>
      <w:r>
        <w:t>Fig 1: Class Imbalance</w:t>
      </w:r>
    </w:p>
    <w:p>
      <w:r>
        <w:drawing>
          <wp:inline xmlns:a="http://schemas.openxmlformats.org/drawingml/2006/main" xmlns:pic="http://schemas.openxmlformats.org/drawingml/2006/picture">
            <wp:extent cx="5486400" cy="5503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lass_im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31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2: SMOTE Impact</w:t>
      </w:r>
    </w:p>
    <w:p>
      <w:r>
        <w:drawing>
          <wp:inline xmlns:a="http://schemas.openxmlformats.org/drawingml/2006/main" xmlns:pic="http://schemas.openxmlformats.org/drawingml/2006/picture">
            <wp:extent cx="5486400" cy="3320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mote_imp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04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3: Consumption Profiles</w:t>
      </w:r>
    </w:p>
    <w:p>
      <w:r>
        <w:drawing>
          <wp:inline xmlns:a="http://schemas.openxmlformats.org/drawingml/2006/main" xmlns:pic="http://schemas.openxmlformats.org/drawingml/2006/picture">
            <wp:extent cx="5486400" cy="3073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sumption_pro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7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4: Feature Importance</w:t>
      </w:r>
    </w:p>
    <w:p>
      <w:r>
        <w:drawing>
          <wp:inline xmlns:a="http://schemas.openxmlformats.org/drawingml/2006/main" xmlns:pic="http://schemas.openxmlformats.org/drawingml/2006/picture">
            <wp:extent cx="5486400" cy="31827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5: Cross Validation Stability</w:t>
      </w:r>
    </w:p>
    <w:p>
      <w:r>
        <w:drawing>
          <wp:inline xmlns:a="http://schemas.openxmlformats.org/drawingml/2006/main" xmlns:pic="http://schemas.openxmlformats.org/drawingml/2006/picture">
            <wp:extent cx="5486400" cy="3378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ross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3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6: Model Comparison Bar Chart</w:t>
      </w:r>
    </w:p>
    <w:p>
      <w:r>
        <w:drawing>
          <wp:inline xmlns:a="http://schemas.openxmlformats.org/drawingml/2006/main" xmlns:pic="http://schemas.openxmlformats.org/drawingml/2006/picture">
            <wp:extent cx="5486400" cy="30958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8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7: Multidimensional Radar Chart</w:t>
      </w:r>
    </w:p>
    <w:p>
      <w:r>
        <w:drawing>
          <wp:inline xmlns:a="http://schemas.openxmlformats.org/drawingml/2006/main" xmlns:pic="http://schemas.openxmlformats.org/drawingml/2006/picture">
            <wp:extent cx="5486400" cy="4970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adar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0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8: ROC Curves</w:t>
      </w:r>
    </w:p>
    <w:p>
      <w:r>
        <w:drawing>
          <wp:inline xmlns:a="http://schemas.openxmlformats.org/drawingml/2006/main" xmlns:pic="http://schemas.openxmlformats.org/drawingml/2006/picture">
            <wp:extent cx="5486400" cy="43561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1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9: Precision-Recall Curves</w:t>
      </w:r>
    </w:p>
    <w:p>
      <w:r>
        <w:drawing>
          <wp:inline xmlns:a="http://schemas.openxmlformats.org/drawingml/2006/main" xmlns:pic="http://schemas.openxmlformats.org/drawingml/2006/picture">
            <wp:extent cx="5486400" cy="44934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r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3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 10: Confusion Matrix</w:t>
      </w:r>
    </w:p>
    <w:p>
      <w:r>
        <w:drawing>
          <wp:inline xmlns:a="http://schemas.openxmlformats.org/drawingml/2006/main" xmlns:pic="http://schemas.openxmlformats.org/drawingml/2006/picture">
            <wp:extent cx="5486400" cy="42410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0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